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Acme Corp Announces Q3 2024 Results</w:t>
      </w:r>
    </w:p>
    <w:p>
      <w:r>
        <w:t xml:space="preserve">NEW YORK — Acme Corp announced its third-quarter 2024 results today, reporting revenue of $4.2 million and 15% year-over-year growth. The company employs more than 500 people across its New York and London offices.</w:t>
      </w:r>
    </w:p>
    <w:p>
      <w:r>
        <w:t xml:space="preserve">CEO Jane Wilson cited the launch of the v2.0 release of the CRM platform as the primary driver of the quarter's performance. "Our customers are embracing the new architecture," said Wilson, who has led the company since 2019.</w:t>
      </w:r>
    </w:p>
    <w:p>
      <w:r>
        <w:t xml:space="preserve">Chief Financial Officer John Smith presented the figures at the November 5, 2024 board meeting. The board approved a 2025 expansion plan focused on the Asia-Pacific region. Acme Corp competes with Globex Inc and TechStar Ltd in the enterprise software market.</w:t>
      </w:r>
    </w:p>
    <w:p>
      <w:pPr>
        <w:pStyle w:val="Heading2"/>
      </w:pPr>
      <w:r>
        <w:t xml:space="preserve">Forward-looking Statements</w:t>
      </w:r>
    </w:p>
    <w:p>
      <w:r>
        <w:t xml:space="preserve">This release contains forward-looking statements regarding the Asia-Pacific expansion plan and the v2.0 CRM platform. Actual results may differ materially. The forward-looking statements speak only as of November 5,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2026-05-04T04:31:17.425Z</dcterms:created>
  <dcterms:modified xsi:type="dcterms:W3CDTF">2026-05-04T04:31:17.425Z</dcterms:modified>
</cp:coreProperties>
</file>

<file path=docProps/custom.xml><?xml version="1.0" encoding="utf-8"?>
<Properties xmlns="http://schemas.openxmlformats.org/officeDocument/2006/custom-properties" xmlns:vt="http://schemas.openxmlformats.org/officeDocument/2006/docPropsVTypes"/>
</file>