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left"/>
      </w:pPr>
      <w:r>
        <w:t xml:space="preserve">CRM v2.0 — Customer Workshop</w:t>
      </w:r>
    </w:p>
    <w:p>
      <w:r>
        <w:t xml:space="preserve">This handout covers the new features released in the v2.0 update.</w:t>
      </w:r>
    </w:p>
    <w:p>
      <w:pPr>
        <w:pStyle w:val="Heading2"/>
      </w:pPr>
      <w:r>
        <w:t xml:space="preserve">Migration Path</w:t>
      </w:r>
    </w:p>
    <w:p>
      <w:r>
        <w:t xml:space="preserve">Existing v1.x customers can opt-in via the Acme Inc. customer portal.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2026-05-07T04:30:54.138Z</dcterms:created>
  <dcterms:modified xsi:type="dcterms:W3CDTF">2026-05-07T04:30:54.138Z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