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rPr>
          <w:b/>
          <w:sz w:val="48"/>
        </w:rPr>
      </w:pPr>
      <w:r>
        <w:rPr>
          <w:b/>
        </w:rPr>
        <w:t xml:space="preserve">Política de privacidad (ejemplo ficticio) — Ley 21.719</w:t>
      </w:r>
    </w:p>
    <w:p/>
    <w:p>
      <w:r>
        <w:t xml:space="preserve">Este documento es un ejemplo FICTICIO, creado únicamente para esta demo de Mova Context. No corresponde a una empresa real ni debe usarse como política de privacidad válida.</w:t>
      </w:r>
    </w:p>
    <w:p/>
    <w:p>
      <w:pPr>
        <w:rPr>
          <w:b/>
          <w:sz w:val="40"/>
        </w:rPr>
      </w:pPr>
      <w:r>
        <w:rPr>
          <w:b/>
        </w:rPr>
        <w:t xml:space="preserve">1. Qué datos personales tratamos</w:t>
      </w:r>
    </w:p>
    <w:p/>
    <w:p>
      <w:r>
        <w:t xml:space="preserve">Nombre completo, RUT, correo electrónico, teléfono, dirección, historial de interacciones con nuestros canales de atención, y preferencias de consentimiento para comunicaciones de marketing.</w:t>
      </w:r>
    </w:p>
    <w:p/>
    <w:p>
      <w:pPr>
        <w:rPr>
          <w:b/>
          <w:sz w:val="40"/>
        </w:rPr>
      </w:pPr>
      <w:r>
        <w:rPr>
          <w:b/>
        </w:rPr>
        <w:t xml:space="preserve">2. Para qué los utilizamos</w:t>
      </w:r>
    </w:p>
    <w:p/>
    <w:p>
      <w:r>
        <w:rPr>
          <w:b/>
        </w:rPr>
        <w:t xml:space="preserve">Gestión de la relación comercial</w:t>
      </w:r>
      <w:r>
        <w:t xml:space="preserve">: identificar al cliente y administrar su cuenta.</w:t>
      </w:r>
    </w:p>
    <w:p>
      <w:r>
        <w:rPr>
          <w:b/>
        </w:rPr>
        <w:t xml:space="preserve">Facturación y cobranza</w:t>
      </w:r>
      <w:r>
        <w:t xml:space="preserve">: emitir boletas/facturas y procesar pagos.</w:t>
      </w:r>
    </w:p>
    <w:p>
      <w:r>
        <w:rPr>
          <w:b/>
        </w:rPr>
        <w:t xml:space="preserve">Atención de solicitudes de titulares</w:t>
      </w:r>
      <w:r>
        <w:t xml:space="preserve">: responder solicitudes de acceso, rectificación, eliminación y portabilidad conforme a la Ley 21.719.</w:t>
      </w:r>
    </w:p>
    <w:p>
      <w:r>
        <w:rPr>
          <w:b/>
        </w:rPr>
        <w:t xml:space="preserve">Comunicaciones de marketing</w:t>
      </w:r>
      <w:r>
        <w:t xml:space="preserve">: solo cuando el titular dio su consentimiento explícito, revocable en cualquier momento.</w:t>
      </w:r>
    </w:p>
    <w:p>
      <w:r>
        <w:rPr>
          <w:b/>
        </w:rPr>
        <w:t xml:space="preserve">Soporte técnico</w:t>
      </w:r>
      <w:r>
        <w:t xml:space="preserve">: resolver consultas o incidencias reportadas por el cliente.</w:t>
      </w:r>
    </w:p>
    <w:p/>
    <w:p>
      <w:pPr>
        <w:rPr>
          <w:b/>
          <w:sz w:val="40"/>
        </w:rPr>
      </w:pPr>
      <w:r>
        <w:rPr>
          <w:b/>
        </w:rPr>
        <w:t xml:space="preserve">3. Qué sistemas o procesos los utilizan</w:t>
      </w:r>
    </w:p>
    <w:p/>
    <w:p>
      <w:r>
        <w:t xml:space="preserve">CRM de ventas, sistema de facturación, mesa de ayuda / call center, app móvil, portal de solicitudes de titulares, y plataforma de analítica interna de uso del servicio.</w:t>
      </w:r>
    </w:p>
    <w:p/>
    <w:p>
      <w:pPr>
        <w:rPr>
          <w:b/>
          <w:sz w:val="40"/>
        </w:rPr>
      </w:pPr>
      <w:r>
        <w:rPr>
          <w:b/>
        </w:rPr>
        <w:t xml:space="preserve">4. Conservación de los datos</w:t>
      </w:r>
    </w:p>
    <w:p/>
    <w:p>
      <w:r>
        <w:t xml:space="preserve">Los datos se conservan mientras la relación comercial esté vigente y, tras su término, por el plazo mínimo que exija la normativa tributaria y comercial aplicable. Vencido ese plazo, los datos que ya no tengan una base de tratamiento vigente deben eliminarse o anonimizarse.</w:t>
      </w:r>
    </w:p>
    <w:p/>
    <w:p>
      <w:pPr>
        <w:rPr>
          <w:b/>
          <w:sz w:val="40"/>
        </w:rPr>
      </w:pPr>
      <w:r>
        <w:rPr>
          <w:b/>
        </w:rPr>
        <w:t xml:space="preserve">5. Comunicaciones comerciales</w:t>
      </w:r>
    </w:p>
    <w:p/>
    <w:p>
      <w:r>
        <w:t xml:space="preserve">Solo se envían comunicaciones de marketing directo a quienes dieron consentimiento explícito y específico para ese fin — nunca agrupado con la aceptación de otros términos. El consentimiento puede revocarse en cualquier momento por el mismo canal en que se otorgó.</w:t>
      </w:r>
    </w:p>
    <w:p/>
    <w:p>
      <w:pPr>
        <w:rPr>
          <w:b/>
          <w:sz w:val="40"/>
        </w:rPr>
      </w:pPr>
      <w:r>
        <w:rPr>
          <w:b/>
        </w:rPr>
        <w:t xml:space="preserve">6. Atención de solicitudes de titulares</w:t>
      </w:r>
    </w:p>
    <w:p/>
    <w:p>
      <w:r>
        <w:t xml:space="preserve">Toda persona titular de datos puede solicitar acceso, rectificación, eliminación, oposición o portabilidad de sus datos a través del portal de solicitudes de titulares. Las solicitudes se responden dentro de los plazos que establece la Ley 21.719.</w:t>
      </w:r>
    </w:p>
    <w:p/>
    <w:p>
      <w:pPr>
        <w:rPr>
          <w:b/>
          <w:sz w:val="40"/>
        </w:rPr>
      </w:pPr>
      <w:r>
        <w:rPr>
          <w:b/>
        </w:rPr>
        <w:t xml:space="preserve">7. Uso de modelos de inteligencia artificial</w:t>
      </w:r>
    </w:p>
    <w:p/>
    <w:p>
      <w:r>
        <w:t xml:space="preserve">Cuando un proceso interno utiliza un modelo de IA (local o en la nube) para apoyar la atención o el análisis de datos de clientes, el principio aplicado es enviar únicamente la información mínima necesaria para responder la consulta puntual — nunca el registro completo de un cliente por defecto. Los detalles técnicos de cómo se prepara y reduce ese contexto no forman parte de esta política; ver la documentación técnica del sistema correspondiente.</w:t>
      </w:r>
    </w:p>
    <w:p/>
    <w:p>
      <w:pPr>
        <w:rPr>
          <w:b/>
          <w:sz w:val="40"/>
        </w:rPr>
      </w:pPr>
      <w:r>
        <w:rPr>
          <w:b/>
        </w:rPr>
        <w:t xml:space="preserve">8. Nota importante</w:t>
      </w:r>
    </w:p>
    <w:p/>
    <w:p>
      <w:r>
        <w:t xml:space="preserve">Este documento fue redactado únicamente con fines demostrativos y educativos para el ejemplo "ejemplo-ley21719-pii-context" de Mova Context. No constituye asesoría legal ni una política de privacidad válida para ninguna organización real.</w:t>
      </w:r>
    </w:p>
    <w:p/>
    <w:sectPr/>
  </w:body>
</w:document>
</file>