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Testing different stuff</w:t>
      </w:r>
    </w:p>
    <w:p>
      <w:pPr>
        <w:pStyle w:val="Body A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en-US"/>
        </w:rPr>
        <w:t>Testing different stuff</w:t>
      </w:r>
    </w:p>
    <w:p>
      <w:pPr>
        <w:pStyle w:val="Body A"/>
        <w:rPr>
          <w:strike w:val="1"/>
          <w:dstrike w:val="0"/>
          <w:sz w:val="30"/>
          <w:szCs w:val="30"/>
        </w:rPr>
      </w:pPr>
      <w:r>
        <w:rPr>
          <w:strike w:val="1"/>
          <w:dstrike w:val="0"/>
          <w:sz w:val="30"/>
          <w:szCs w:val="30"/>
          <w:rtl w:val="0"/>
          <w:lang w:val="en-US"/>
        </w:rPr>
        <w:t>Testing different stuff</w:t>
      </w:r>
    </w:p>
    <w:p>
      <w:pPr>
        <w:pStyle w:val="Body A"/>
        <w:rPr>
          <w:sz w:val="30"/>
          <w:szCs w:val="30"/>
          <w:u w:val="single"/>
        </w:rPr>
      </w:pPr>
      <w:r>
        <w:rPr>
          <w:sz w:val="30"/>
          <w:szCs w:val="30"/>
          <w:u w:val="single"/>
          <w:rtl w:val="0"/>
          <w:lang w:val="en-US"/>
        </w:rPr>
        <w:t>Testing different stuff</w:t>
      </w:r>
    </w:p>
    <w:p>
      <w:pPr>
        <w:pStyle w:val="Body A"/>
        <w:rPr>
          <w:b w:val="1"/>
          <w:bCs w:val="1"/>
          <w:sz w:val="30"/>
          <w:szCs w:val="30"/>
        </w:rPr>
      </w:pPr>
    </w:p>
    <w:p>
      <w:pPr>
        <w:pStyle w:val="Body A"/>
        <w:rPr>
          <w:rStyle w:val="None"/>
          <w:sz w:val="30"/>
          <w:szCs w:val="30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"https://ruilisi.github.io/fortune-sheet-demo/?path=/story/features--basic"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https://ruilisi.github.io/fortune-sheet-demo/?path=/story/features--basic</w:t>
      </w:r>
      <w:r>
        <w:rPr/>
        <w:fldChar w:fldCharType="end" w:fldLock="0"/>
      </w:r>
      <w:r>
        <w:rPr>
          <w:rStyle w:val="None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369111</wp:posOffset>
            </wp:positionV>
            <wp:extent cx="3346583" cy="18181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test_s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test_ss.png" descr="test_ss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583" cy="18181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rStyle w:val="None"/>
          <w:sz w:val="30"/>
          <w:szCs w:val="30"/>
        </w:rPr>
      </w:pPr>
    </w:p>
    <w:p>
      <w:pPr>
        <w:pStyle w:val="Body A"/>
        <w:rPr>
          <w:rStyle w:val="None"/>
          <w:sz w:val="30"/>
          <w:szCs w:val="30"/>
        </w:rPr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00a2ff"/>
        </w:tblPrEx>
        <w:trPr>
          <w:trHeight w:val="300" w:hRule="atLeast"/>
          <w:tblHeader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10" w:hRule="atLeast"/>
        </w:trPr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Style w:val="None"/>
                <w:shd w:val="nil" w:color="auto" w:fill="auto"/>
                <w:rtl w:val="0"/>
              </w:rPr>
              <w:t>Dad</w:t>
            </w:r>
          </w:p>
        </w:tc>
        <w:tc>
          <w:tcPr>
            <w:tcW w:type="dxa" w:w="24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Dad</w:t>
            </w:r>
          </w:p>
        </w:tc>
        <w:tc>
          <w:tcPr>
            <w:tcW w:type="dxa" w:w="240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Dd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Dadd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Style w:val="None"/>
                <w:shd w:val="nil" w:color="auto" w:fill="auto"/>
                <w:rtl w:val="0"/>
              </w:rPr>
              <w:t>Dd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Style w:val="None"/>
                <w:shd w:val="nil" w:color="auto" w:fill="auto"/>
                <w:rtl w:val="0"/>
              </w:rPr>
              <w:t>D</w:t>
            </w:r>
          </w:p>
        </w:tc>
      </w:tr>
    </w:tbl>
    <w:p>
      <w:pPr>
        <w:pStyle w:val="Body A"/>
        <w:widowControl w:val="0"/>
        <w:ind w:left="108" w:hanging="108"/>
        <w:rPr>
          <w:rStyle w:val="None"/>
          <w:sz w:val="30"/>
          <w:szCs w:val="30"/>
        </w:rPr>
      </w:pPr>
    </w:p>
    <w:p>
      <w:pPr>
        <w:pStyle w:val="Body A"/>
        <w:rPr>
          <w:rStyle w:val="None"/>
          <w:sz w:val="30"/>
          <w:szCs w:val="30"/>
        </w:rPr>
      </w:pPr>
    </w:p>
    <w:p>
      <w:pPr>
        <w:pStyle w:val="Body A"/>
        <w:rPr>
          <w:rStyle w:val="None"/>
          <w:sz w:val="30"/>
          <w:szCs w:val="30"/>
        </w:rPr>
      </w:pPr>
    </w:p>
    <w:p>
      <w:pPr>
        <w:pStyle w:val="Body A"/>
      </w:pPr>
      <w:r>
        <w:rPr>
          <w:rStyle w:val="None"/>
          <w:sz w:val="30"/>
          <w:szCs w:val="30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2045423</wp:posOffset>
            </wp:positionH>
            <wp:positionV relativeFrom="line">
              <wp:posOffset>3535743</wp:posOffset>
            </wp:positionV>
            <wp:extent cx="5080000" cy="3762377"/>
            <wp:effectExtent l="0" t="0" r="0" b="0"/>
            <wp:wrapTopAndBottom distT="0" distB="0"/>
            <wp:docPr id="1073741826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sz w:val="30"/>
      <w:szCs w:val="30"/>
      <w:u w:val="single"/>
      <w:lang w:val="en-US"/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chart" Target="charts/chart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712624"/>
          <c:y val="0.125246"/>
          <c:w val="0.905025"/>
          <c:h val="0.808094"/>
        </c:manualLayout>
      </c:layout>
      <c:areaChart>
        <c:grouping val="standard"/>
        <c:varyColors val="0"/>
        <c:ser>
          <c:idx val="1"/>
          <c:order val="0"/>
          <c:tx>
            <c:strRef>
              <c:f>Sheet1!$A$3</c:f>
              <c:strCache>
                <c:ptCount val="1"/>
                <c:pt idx="0">
                  <c:v>Region 2</c:v>
                </c:pt>
              </c:strCache>
            </c:strRef>
          </c:tx>
          <c:spPr>
            <a:solidFill>
              <a:schemeClr val="accent3"/>
            </a:solidFill>
            <a:ln w="12700" cap="flat">
              <a:noFill/>
              <a:miter lim="400000"/>
            </a:ln>
            <a:effectLst/>
          </c:spP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>April</c:v>
                </c:pt>
                <c:pt idx="1">
                  <c:v>May</c:v>
                </c:pt>
                <c:pt idx="2">
                  <c:v>June</c:v>
                </c:pt>
                <c:pt idx="3">
                  <c:v>July</c:v>
                </c:pt>
              </c:strCache>
            </c:strRef>
          </c:cat>
          <c:val>
            <c:numRef>
              <c:f>Sheet1!$B$3:$E$3</c:f>
              <c:numCache>
                <c:ptCount val="4"/>
                <c:pt idx="0">
                  <c:v>55.000000</c:v>
                </c:pt>
                <c:pt idx="1">
                  <c:v>43.000000</c:v>
                </c:pt>
                <c:pt idx="2">
                  <c:v>70.000000</c:v>
                </c:pt>
                <c:pt idx="3">
                  <c:v>58.000000</c:v>
                </c:pt>
              </c:numCache>
            </c:numRef>
          </c:val>
        </c:ser>
        <c:ser>
          <c:idx val="0"/>
          <c:order val="1"/>
          <c:tx>
            <c:strRef>
              <c:f>Sheet1!$A$2</c:f>
              <c:strCache>
                <c:ptCount val="1"/>
                <c:pt idx="0">
                  <c:v>Region 1</c:v>
                </c:pt>
              </c:strCache>
            </c:strRef>
          </c:tx>
          <c:spPr>
            <a:solidFill>
              <a:schemeClr val="accent1"/>
            </a:solidFill>
            <a:ln w="12700" cap="flat">
              <a:noFill/>
              <a:miter lim="400000"/>
            </a:ln>
            <a:effectLst/>
          </c:spP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>April</c:v>
                </c:pt>
                <c:pt idx="1">
                  <c:v>May</c:v>
                </c:pt>
                <c:pt idx="2">
                  <c:v>June</c:v>
                </c:pt>
                <c:pt idx="3">
                  <c:v>July</c:v>
                </c:pt>
              </c:strCache>
            </c:strRef>
          </c:cat>
          <c:val>
            <c:numRef>
              <c:f>Sheet1!$B$2:$E$2</c:f>
              <c:numCache>
                <c:ptCount val="4"/>
                <c:pt idx="0">
                  <c:v>17.000000</c:v>
                </c:pt>
                <c:pt idx="1">
                  <c:v>26.000000</c:v>
                </c:pt>
                <c:pt idx="2">
                  <c:v>53.000000</c:v>
                </c:pt>
                <c:pt idx="3">
                  <c:v>96.000000</c:v>
                </c:pt>
              </c:numCache>
            </c:numRef>
          </c:val>
        </c:ser>
        <c:axId val="2094734552"/>
        <c:axId val="2094734553"/>
      </c:area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0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2"/>
        <c:crosses val="autoZero"/>
        <c:crossBetween val="midCat"/>
        <c:majorUnit val="25"/>
        <c:minorUnit val="12.5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375"/>
          <c:y val="0"/>
          <c:w val="0.925"/>
          <c:h val="0.064561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Helvetica Neue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