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106/2016/QH13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THUẾ GIÁ TRỊ GIA TĂNG, LUẬT THUẾ TIÊU THỤ ĐẶC BIỆT VÀ LUẬT QUẢN LÝ THUẾ</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Luật sửa đổi, bổ sung một số điều của Luật thuế giá trị gia tăng số 13/2008/QH12 đã được sửa đổi, bổ sung một số điều theo Luật số 31/2013/QH13, Luật thuế tiêu thụ đặc biệt số 27/2008/QH12 đã được sửa đổi, bổ sung một số điều theo Luật số 70/2014/QH13, Luật quản lý thuế số 78/2006/QH11 đã được sửa đổi, bổ sung một số điều theo Luật số 21/2012/QH13 và Luật số 71/2014/QH13.</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thuế giá trị gia tăng số 13/2008/QH12 đã được sửa đổi, bổ sung một số điều theo Luật số 31/2013/QH13:</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1, 9 và 23 Điều 5 được sửa đổi, bổ sung như sau:</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trồng trọt, chăn nuôi, thủy sản nuôi trồng, đánh bắt chưa chế biến thành các sản phẩm khác hoặc chỉ qua sơ chế thông thường của tổ chức, cá nhân tự sản xuất, đánh bắt bán ra và ở khâu nhập khẩu.</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hợp tác xã mua sản phẩm trồng trọt, chăn nuôi, thủy sản nuôi trồng, đánh bắt chưa chế biến thành các sản phẩm khác hoặc chỉ qua sơ chế thông thường bán cho doanh nghiệp, hợp tác xã khác thì không phải kê khai, tính nộp thuế giá trị gia tăng nhưng được khấu trừ thuế giá trị gia tăng đầu vào.”</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Dịch vụ y tế, dịch vụ thú y, bao gồm dịch vụ khám bệnh, chữa bệnh, phòng bệnh cho người và vật nuôi; dịch vụ chăm sóc người cao tuổi, người khuyết tật.”</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Sản phẩm xuất khẩu là tài nguyên, khoáng sản khai thác chưa chế biến thành sản phẩm khác; sản phẩm xuất khẩu là hàng hóa được chế biến từ tài nguyên, khoáng sản có tổng trị giá tài nguyên, khoáng sản cộng với chi phí năng lượng chiếm từ 51% giá thành sản phẩm trở lên.”</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Điểm g khoản 1 Điều 8 được sửa đổi, bổ sung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Sản phẩm xuất khẩu quy định tại khoản 23 Điều 5 của Luật này.</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hóa, dịch vụ xuất khẩu là hàng hóa, dịch vụ được tiêu dùng ở ngoài Việt Nam, trong khu phi thuế quan; hàng hóa, dịch vụ cung cấp cho khách hàng nước ngoài theo quy định của Chính phủ.”</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Khoản 1 và khoản 2 Điều 13 được sửa đổi, bổ sung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nộp thuế giá trị gia tăng theo phương pháp khấu trừ thuế nếu có số thuế giá trị gia tăng đầu vào chưa được khấu trừ hết trong tháng hoặc trong quý thì được khấu trừ vào kỳ tiếp theo.</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sở kinh doanh đã đăng ký nộp thuế giá trị gia tăng theo phương pháp khấu trừ có dự án đầu tư mới, đang trong giai đoạn đầu tư có số thuế giá trị gia tăng của hàng hóa, dịch vụ mua vào sử dụng cho đầu tư mà chưa được khấu trừ và có số thuế còn lại từ ba trăm triệu đồng trở lên thì được hoàn thuế giá trị gia tăng.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kinh doanh không được hoàn thuế giá trị gia tăng mà được kết chuyển số thuế chưa được khấu trừ của dự án đầu tư theo quy định của pháp luật về đầu tư sang kỳ tiếp theo đối với các trường hợp:</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của cơ sở kinh doanh không góp đủ số vốn điều lệ như đã đăng ký; kinh doanh ngành, nghề đầu tư kinh doanh có điều kiện khi chưa đủ các điều kiện kinh doanh theo quy định của Luật đầu tư hoặc không bảo đảm duy trì đủ điều kiện kinh doanh trong quá trình hoạt động;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khai thác tài nguyên, khoáng sản được cấp phép từ ngày 01 tháng 7 năm 2016 hoặc dự án đầu tư sản xuất sản phẩm hàng hóa mà tổng trị giá tài nguyên, khoáng sản cộng với chi phí năng lượng chiếm từ 51% giá thành sản phẩm trở lên theo dự án đầu tư.</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trong tháng, quý có hàng hóa, dịch vụ xuất khẩu nếu có số thuế giá trị gia tăng đầu vào chưa được khấu trừ từ ba trăm triệu đồng trở lên thì được hoàn thuế giá trị gia tăng theo tháng, quý, trừ trường hợp hàng hóa nhập khẩu để xuất khẩu, hàng hóa xuất khẩu không thực hiện việc xuất khẩu tại địa bàn hoạt động hải quan theo quy định của Luật hải quan.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hiện hoàn thuế trước, kiểm tra sau đối với người nộp thuế sản xuất hàng hóa xuất khẩu không vi phạm pháp luật về thuế, hải quan trong thời gian hai năm liên tục; người nộp thuế không thuộc đối tượng rủi ro cao theo quy định của Luật quản lý thuế.”</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thuế tiêu thụ đặc biệt số 27/2008/QH12 đã được sửa đổi, bổ sung một số điều theo Luật số 70/2014/QH13:</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Khoản 1 và khoản 2 Điều 6 được sửa đổi, bổ sung như sau:</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hàng hóa sản xuất trong nước, hàng hóa nhập khẩu là giá do cơ sở sản xuất, cơ sở nhập khẩu bán ra.</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hàng hóa chịu thuế tiêu thụ đặc biệt được bán cho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tính thuế tiêu thụ đặc biệt không được thấp hơn tỷ lệ phần trăm (%) so với giá bình quân của các cơ sở kinh doanh thương mại mua trực tiếp của cơ sở sản xuất, cơ sở nhập khẩu bán ra theo quy định của Chính phủ;</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hàng hóa nhập khẩu tại khâu nhập khẩu là giá tính thuế nhập khẩu cộng với thuế nhập khẩu. Trường hợp hàng hóa nhập khẩu được miễn, giảm thuế nhập khẩu thì giá tính thuế không bao gồm số thuế nhập khẩu được miễn, giảm. Hàng hoá chịu thuế tiêu thụ đặc biệt nhập khẩu được khấu trừ số thuế tiêu thụ đặc biệt đã nộp ở khâu nhập khẩu khi xác định số thuế tiêu thụ đặc biệt phải nộp bán ra;”</w:t>
      </w:r>
    </w:p>
    <w:p w:rsidR="00000000" w:rsidDel="00000000" w:rsidP="00000000" w:rsidRDefault="00000000" w:rsidRPr="00000000" w14:paraId="000000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4 Mục I Biểu thuế tiêu thụ đặc biệt quy định tại Điều 7 được sửa đổi, bổ sung như sau:</w:t>
      </w:r>
    </w:p>
    <w:p w:rsidR="00000000" w:rsidDel="00000000" w:rsidP="00000000" w:rsidRDefault="00000000" w:rsidRPr="00000000" w14:paraId="00000026">
      <w:pPr>
        <w:ind w:firstLine="720"/>
        <w:jc w:val="both"/>
        <w:rPr>
          <w:rFonts w:ascii="Arial" w:cs="Arial" w:eastAsia="Arial" w:hAnsi="Arial"/>
          <w:sz w:val="20"/>
          <w:szCs w:val="20"/>
        </w:rPr>
      </w:pPr>
      <w:r w:rsidDel="00000000" w:rsidR="00000000" w:rsidRPr="00000000">
        <w:rPr>
          <w:rtl w:val="0"/>
        </w:rPr>
      </w:r>
    </w:p>
    <w:tbl>
      <w:tblPr>
        <w:tblStyle w:val="Table2"/>
        <w:tblW w:w="9359.999999999998"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713"/>
        <w:gridCol w:w="6543"/>
        <w:gridCol w:w="2104"/>
        <w:tblGridChange w:id="0">
          <w:tblGrid>
            <w:gridCol w:w="713"/>
            <w:gridCol w:w="6543"/>
            <w:gridCol w:w="210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Hàng hóa, dịch vụ</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Thuế suất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Xe ô tô dưới 24 chỗ</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a) Xe ô tô chở người từ 9 chỗ trở xuống, trừ loại quy định tại các điểm 4đ, 4e và 4g của Biểu thuế quy định tại Điều này</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2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từ 1.500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trở xuống</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7 năm 2016 đến hết ngày 31 tháng 12 năm 2017</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01 năm 2018</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1.500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2.000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7 năm 2016 đến hết ngày 31 tháng 12 năm 2017</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01 năm 2018</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2.000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2.500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2.500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3.000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07 năm 2016 đến hết ngày 31 tháng 12 năm 2017</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01 năm 2018</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3.000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4.000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4.000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5.000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5.000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6.000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6.000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b) Xe ô tô chở người từ 10 đến dưới 16 chỗ, trừ loại quy định tại các điểm 4đ, 4e và 4g của Biểu thuế quy định tại Điều này</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c) Xe ô tô chở người từ 16 đến dưới 24 chỗ, trừ loại quy định tại các điểm 4đ, 4e và 4g của Biểu thuế quy định tại Điều này</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d) Xe ô tô vừa chở người, vừa chở hàng, trừ loại quy định tại các điểm 4đ, 4e và 4g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Biểu thuế quy định tại Điều này</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từ 2.500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trở xuống</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2.500 cm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đến 3.000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có dung tích xi lanh trên 3.000 cm</w:t>
            </w:r>
            <w:r w:rsidDel="00000000" w:rsidR="00000000" w:rsidRPr="00000000">
              <w:rPr>
                <w:rFonts w:ascii="Arial" w:cs="Arial" w:eastAsia="Arial" w:hAnsi="Arial"/>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đ) Xe ô tô chạy bằng xăng kết hợp năng lượng điện, năng lượng sinh học, trong đó tỷ trọng xăng sử dụng không quá 70% số năng lượng sử dụng</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Bằng 70% mức thuế suất áp dụng cho xe cùng loại quy định tại các điểm 4a, 4b, 4c và 4d của Biểu thuế quy định tại Điều này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e) Xe ô tô chạy bằng năng lượng sinh học</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Bằng 50% mức thuế suất áp dụng cho xe cùng loại quy định tại các điểm 4a, 4b, 4c và 4d của Biểu thuế quy định tại Điều này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g) Xe ô tô chạy bằng điện</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chở người từ 9 chỗ trở xuống</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chở người từ 10 đến dưới 16 chỗ</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chở người từ 16 đến dưới 24 chỗ</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 Loại thiết kế vừa chở người, vừa chở hàng</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h) Xe mô-tô-hôm (motorhome) không phân biệt dung tích xi lanh</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7 năm 2016 đến hết ngày 31 tháng 12 năm 2017</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01 năm 2018</w:t>
            </w:r>
          </w:p>
        </w:tc>
        <w:tc>
          <w:tcPr>
            <w:tcBorders>
              <w:top w:color="000000" w:space="0" w:sz="0" w:val="nil"/>
              <w:left w:color="000000" w:space="0" w:sz="0" w:val="nil"/>
              <w:bottom w:color="000000" w:space="0" w:sz="8"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r>
    </w:tbl>
    <w:p w:rsidR="00000000" w:rsidDel="00000000" w:rsidP="00000000" w:rsidRDefault="00000000" w:rsidRPr="00000000" w14:paraId="0000008A">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quản lý thuế số 78/2006/QH11 đã được sửa đổi, bổ sung một số điều theo Luật số 21/2012/QH13 và Luật số 71/2014/QH13:</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61 được sửa đổi, bổ sung như sau:</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61. Miễn thuế, giảm thuế</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thuế thực hiện miễn thuế, giảm thuế đối với các trường hợp thuộc diện miễn thuế, giảm thuế được quy định tại các văn bản pháp luật về thuế và miễn thuế đối với hộ gia đình, cá nhân có số thuế sử dụng đất phi nông nghiệp phải nộp hằng năm từ năm mươi nghìn đồng trở xuống.”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4 Điều 92 được sửa đổi, bổ sung như sau:</w:t>
      </w:r>
    </w:p>
    <w:p w:rsidR="00000000" w:rsidDel="00000000" w:rsidP="00000000" w:rsidRDefault="00000000" w:rsidRPr="00000000" w14:paraId="0000009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Chưa thực hiện biện pháp cưỡng chế thuế đối với trường hợp người nộp thuế được cơ quan quản lý thuế cho phép nộp dần tiền nợ thuế trong thời hạn không quá mười hai tháng, kể từ ngày bắt đầu của thời hạn cưỡng chế thuế. Việc nộp dần tiền nợ thuế được xem xét trên cơ sở đề nghị của người nộp thuế và phải có bảo lãnh của tổ chức tín dụng. Người nộp thuế phải nộp tiền chậm nộp theo mức 0,03%/ngày tính trên số tiền thuế chậm nộp.”</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Khoản 1 Điều 106 được sửa đổi, bổ sung như sau: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bằng 0,03%/ngày tính trên số tiền thuế chậm nộp</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khoản nợ tiền thuế phát sinh trước ngày 01 tháng 7 năm 2016 mà người nộp thuế chưa nộp vào ngân sách nhà nước, kể cả khoản tiền nợ thuế được truy thu qua kết quả thanh tra, kiểm tra của cơ quan có thẩm quyền thì được chuyển sang áp dụng mức tính tiền chậm nộp theo quy định tại khoản này từ ngày 01 tháng 7 năm 2016.</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nộp thuế cung ứng hàng hoá, dịch vụ được thanh toán bằng nguồn vốn ngân sách nhà nước nhưng chưa được thanh toán nên không nộp kịp thời các khoản thuế dẫn đến nợ thuế thì không phải nộp tiền chậm nộp tính trên số tiền thuế còn nợ nhưng không vượt quá số tiền ngân sách nhà nước chưa thanh toán phát sinh trong thời gian ngân sách nhà nước chưa thanh toán.”</w:t>
      </w:r>
    </w:p>
    <w:p w:rsidR="00000000" w:rsidDel="00000000" w:rsidP="00000000" w:rsidRDefault="00000000" w:rsidRPr="00000000" w14:paraId="0000009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Bãi bỏ khoản 3 Điều 42.</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 trừ quy định tại khoản 2 Điều này.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Khoản 4 Điều 3 của Luật này có hiệu lực thi hành từ ngày 01 tháng 9 năm 2016.</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 điều, khoản được giao trong Luật.</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11 thông qua ngày 06 tháng 4 năm 2016.</w:t>
      </w:r>
      <w:r w:rsidDel="00000000" w:rsidR="00000000" w:rsidRPr="00000000">
        <w:rPr>
          <w:rtl w:val="0"/>
        </w:rPr>
      </w:r>
    </w:p>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3"/>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3">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