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BFE" w:rsidRPr="00273BFE" w:rsidRDefault="00273BFE" w:rsidP="00273BFE">
      <w:pPr>
        <w:rPr>
          <w:rFonts w:ascii="Times New Roman" w:hAnsi="Times New Roman" w:cs="Times New Roman"/>
          <w:b/>
          <w:bCs/>
          <w:sz w:val="32"/>
          <w:szCs w:val="32"/>
        </w:rPr>
      </w:pPr>
      <w:bookmarkStart w:id="0" w:name="_GoBack"/>
      <w:r w:rsidRPr="00273BFE">
        <w:rPr>
          <w:rFonts w:ascii="Times New Roman" w:hAnsi="Times New Roman" w:cs="Times New Roman"/>
          <w:b/>
          <w:bCs/>
          <w:sz w:val="32"/>
          <w:szCs w:val="32"/>
        </w:rPr>
        <w:t>Tuyên truyền về dự án Luật Quản lý, sử dụng vũ khí, vật liệu nổ và công cụ hỗ trợ (sửa đổi)</w:t>
      </w:r>
    </w:p>
    <w:bookmarkEnd w:id="0"/>
    <w:p w:rsidR="00273BFE" w:rsidRPr="00273BFE" w:rsidRDefault="00273BFE" w:rsidP="00273BFE">
      <w:pPr>
        <w:spacing w:line="360" w:lineRule="auto"/>
        <w:jc w:val="both"/>
        <w:rPr>
          <w:rFonts w:ascii="Times New Roman" w:hAnsi="Times New Roman" w:cs="Times New Roman"/>
          <w:b/>
          <w:bCs/>
          <w:sz w:val="28"/>
          <w:szCs w:val="28"/>
        </w:rPr>
      </w:pPr>
      <w:r w:rsidRPr="00273BFE">
        <w:rPr>
          <w:rFonts w:ascii="Times New Roman" w:hAnsi="Times New Roman" w:cs="Times New Roman"/>
          <w:b/>
          <w:bCs/>
          <w:sz w:val="28"/>
          <w:szCs w:val="28"/>
        </w:rPr>
        <w:t xml:space="preserve">Tại Phiên họp thứ 28, ngày 18/12/2023, Ủy ban Thường vụ Quốc hội xem xét đề nghị bổ sung một số dự án Luật vào Chương trình xây dựng luật, pháp lệnh năm 2024, trong đó có Dự án Luật Quản lý, sử dụng vũ khí, vật liệu nổ, công cụ hỗ trợ (VK, VLN, CCHT) sửa đổi. Việc sửa đổi Luật này nhằm tạo điều kiện thuận lợi cho các cơ quan, tổ chức, doanh nghiệp và người dân, đồng thời phục vụ có hiệu quả công tác phòng ngừa, đấu tranh chống tội phạm, vi phạm pháp luật về VK, VLN, CCHT trong tình hình mới, cũng như khắc phục những khó khăn, bất cập trong thực tiễn thi hành Luật. Bộ Công an đã chủ trì xây dựng dự thảo Luật sửa đổi và tổ chức lấy ý kiến của cơ quan, tổ chức, cá nhân; đề nghị Bộ Tư pháp thẩm định hồ sơ. </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w:t>
      </w:r>
      <w:r w:rsidRPr="00273BFE">
        <w:rPr>
          <w:rFonts w:ascii="Times New Roman" w:hAnsi="Times New Roman" w:cs="Times New Roman"/>
          <w:b/>
          <w:bCs/>
          <w:sz w:val="28"/>
          <w:szCs w:val="28"/>
        </w:rPr>
        <w:t>1. Sự cần thiết xây dựng Dự án Luật</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xml:space="preserve">Qua 05 năm tổ chức triển khai thực hiện Luật Quản lý, sử dụng vũ khí, vật liệu nổ và công cụ hỗ trợ, các bộ, ngành, Ủy ban nhân dân và Công an các đơn vị, địa phương đã tổ chức triển khai thực hiện nghiêm túc, hiệu quả, góp phần quan trọng trong bảo vệ an ninh quốc gia, đảm bảo trật tự, an toàn xã hội, phục vụ phát triển kinh tế - xã hội của đất nước, trong đó: (1) Công tác quản lý, sử dụng vũ khí, vật liệu nổ, công cụ hỗ trợ bảo đảm chặt chẽ, đúng quy định, đáp ứng yêu cầu, nhiệm vụ sẵn sàng chiến đấu của lực lượng vũ trang và các lực lượng khác; (2) Công tác tuyên truyền, phổ biến pháp luật được tiến hành thường xuyên, rộng khắp, hiệu quả nên đã nâng cao nhận thức, ý thức chấp hành pháp luật của các cơ quan, tổ chức, cá nhân trong quản lý, sử dụng vũ khí, vật liệu nổ, công cụ hỗ trợ, trong 05 năm, toàn quốc đã vận động nhân dân giao nộp 99.689 khẩu súng các loại và nhiều bom, mìn, lựu đạn, thuốc nổ, vũ khí, công cụ hỗ trợ khác; (3) Bộ Công an đã chỉ đạo Công an các đơn vị, địa phương đấu tranh quyết liệt, hiệu quả đối với tội phạm, vi phạm pháp </w:t>
      </w:r>
      <w:r w:rsidRPr="00273BFE">
        <w:rPr>
          <w:rFonts w:ascii="Times New Roman" w:hAnsi="Times New Roman" w:cs="Times New Roman"/>
          <w:sz w:val="28"/>
          <w:szCs w:val="28"/>
        </w:rPr>
        <w:lastRenderedPageBreak/>
        <w:t>luật về vũ khí, vật liệu nổ, công cụ hỗ trợ, trong 05 năm, toàn quốc đã phát hiện 34.109 vụ, bắt giữ 56.027 đối tượng, thu 4.975 khẩu súng các loại.</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Bên cạnh những kết quả đạt được, quá trình triển khai, thực hiện Luật đã phát sinh một số bất cập, hạn chế, vướng mắc, đó là:</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(1) Về khái niệm vũ khí, vật liệu nổ, công cụ hỗ trợ quy định tại Luật Quản lý, sử dụng vũ khí, vật liệu nổ và công cụ hỗ trợ năm 2017 đã bộc lộ hạn chế, không đáp ứng được yêu cầu quản lý nhà nước và đấu tranh phòng, chống tội phạm. Thực tế trong 05 năm, toàn quốc đã phát hiện 28.715 vụ, bắt giữ 48.987 đối tượng sử dụng trái phép vũ khí, vật liệu nổ, công cụ hỗ trợ, các loại dao và phương tiện tương tự dao gây án, trong đó: Tội phạm sử dụng súng tự chế, vũ khí thô sơ, dao và phương tiện tương tự dao làm công cụ, phương tiện gây án chiếm tỷ lệ rất cao, phát hiện 27.161 vụ, bắt giữ 46.693 đối tượng </w:t>
      </w:r>
      <w:r w:rsidRPr="00273BFE">
        <w:rPr>
          <w:rFonts w:ascii="Times New Roman" w:hAnsi="Times New Roman" w:cs="Times New Roman"/>
          <w:i/>
          <w:iCs/>
          <w:sz w:val="28"/>
          <w:szCs w:val="28"/>
        </w:rPr>
        <w:t>(chiếm 94,5% tổng số vụ, 92,8% tổng số đối tượng)</w:t>
      </w:r>
      <w:r w:rsidRPr="00273BFE">
        <w:rPr>
          <w:rFonts w:ascii="Times New Roman" w:hAnsi="Times New Roman" w:cs="Times New Roman"/>
          <w:sz w:val="28"/>
          <w:szCs w:val="28"/>
        </w:rPr>
        <w:t>. Như vậy, tội phạm sử dụng súng tự chế, vũ khí thô sơ, dao và phương tiện tương tự dao gây án đang diễn biến rất phức tạp. Riêng đối tượng sử dụng dao và phương tiện tương tự dao gây án chiếm tỷ lệ cao, phát hiện 16.841 vụ, bắt giữ 26.472 đối tượng </w:t>
      </w:r>
      <w:r w:rsidRPr="00273BFE">
        <w:rPr>
          <w:rFonts w:ascii="Times New Roman" w:hAnsi="Times New Roman" w:cs="Times New Roman"/>
          <w:i/>
          <w:iCs/>
          <w:sz w:val="28"/>
          <w:szCs w:val="28"/>
        </w:rPr>
        <w:t>(chiếm 58,6% tổng số vụ, 54% tổng số đối tượng), </w:t>
      </w:r>
      <w:r w:rsidRPr="00273BFE">
        <w:rPr>
          <w:rFonts w:ascii="Times New Roman" w:hAnsi="Times New Roman" w:cs="Times New Roman"/>
          <w:sz w:val="28"/>
          <w:szCs w:val="28"/>
        </w:rPr>
        <w:t>nhiều vụ đối tượng sử dụng dao sắc, dao nhọn, dao sắc nhọn có tính sát thương rất cao, gây án với tính chất rất manh động, tàn ác, dã man gây bức xúc dư luận xã hội, hoang mang, lo lắng trong nhân dân. Thực tế điều tra các vụ án cho thấy, chỉ xử lý hình sự được khi có đủ căn cứ kết luận đối tượng phạm tội về các tội danh khác như: Giết người, cướp tài sản, cố ý gây thương tích…, không xử lý được đối tượng về hành vi tàng trữ, sử dụng trái phép vũ khí vì trong Luật Quản lý, sử dụng vũ khí, vật liệu nổ và công cụ hỗ trợ không quy định dao là vũ khí. Bên cạnh đó, đối tượng sử dụng trái phép súng tự chế chiếm tỷ lệ cao hơn nhiều so với đối tượng sử dụng trái phép súng quân dụng </w:t>
      </w:r>
      <w:r w:rsidRPr="00273BFE">
        <w:rPr>
          <w:rFonts w:ascii="Times New Roman" w:hAnsi="Times New Roman" w:cs="Times New Roman"/>
          <w:i/>
          <w:iCs/>
          <w:sz w:val="28"/>
          <w:szCs w:val="28"/>
        </w:rPr>
        <w:t>(1.783/333 vụ, 2.589/546 đối tượng)</w:t>
      </w:r>
      <w:r w:rsidRPr="00273BFE">
        <w:rPr>
          <w:rFonts w:ascii="Times New Roman" w:hAnsi="Times New Roman" w:cs="Times New Roman"/>
          <w:sz w:val="28"/>
          <w:szCs w:val="28"/>
        </w:rPr>
        <w:t xml:space="preserve">, các loại vũ khí này khi đối tượng sử dụng gây án, gây ra hậu quả đặc biệt nghiêm trọng, nguy hiểm như vũ khí quân dụng </w:t>
      </w:r>
      <w:r w:rsidRPr="00273BFE">
        <w:rPr>
          <w:rFonts w:ascii="Times New Roman" w:hAnsi="Times New Roman" w:cs="Times New Roman"/>
          <w:sz w:val="28"/>
          <w:szCs w:val="28"/>
        </w:rPr>
        <w:lastRenderedPageBreak/>
        <w:t>nhưng theo quy định của Luật thì súng tự chế không nằm trong danh mục vũ khí quân dụng, không được trang bị cho lực lượng vũ trang nhân dân và các lực lượng khác để thi hành công vụ và nghiêm cấm chế tạo, sản xuất, mua bán, vận chuyển, tàng trữ, sử dụng các loại vũ khí này. Do đó, các đối tượng đã lợi dụng kẽ hở của pháp luật để chế tạo, tàng trữ, mua bán, vận chuyển, sử dụng trái phép các loại súng tự chế</w:t>
      </w:r>
      <w:r w:rsidRPr="00273BFE">
        <w:rPr>
          <w:rFonts w:ascii="Times New Roman" w:hAnsi="Times New Roman" w:cs="Times New Roman"/>
          <w:i/>
          <w:iCs/>
          <w:sz w:val="28"/>
          <w:szCs w:val="28"/>
        </w:rPr>
        <w:t>, </w:t>
      </w:r>
      <w:r w:rsidRPr="00273BFE">
        <w:rPr>
          <w:rFonts w:ascii="Times New Roman" w:hAnsi="Times New Roman" w:cs="Times New Roman"/>
          <w:sz w:val="28"/>
          <w:szCs w:val="28"/>
        </w:rPr>
        <w:t>dao và công cụ, phương tiện tương tự vũ khí thô sơ nếu không kịp thời ngăn chặn, xử lý nghiêm sẽ tiềm ẩn nguy cơ gây mất an ninh trật tự, vì vậy, cần thiết phải sửa đổi, bổ sung các quy định về khái niệm vũ khí, vật liệu nổ, công cụ hỗ trợ để bảo đảm phù hợp với thực tiễn.</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(2) Luật Quản lý, sử dụng vũ khí, vật liệu nổ và công cụ hỗ trợ đang có 30 điều quy định về thủ tục cấp các loại giấy phép, giấy xác nhận về vũ khí, vật liệu nổ, tiền chất thuốc nổ, công cụ hỗ trợ, trong đó, yêu cầu cơ quan, tổ chức, doanh nghiệp phải trực tiếp nộp hồ sơ tại cơ quan có thẩm quyền cấp phép kèm theo rất nhiều các loại giấy tờ. Do đó, để thực hiện cải cách, đơn giản hoá thủ tục hành chính, tạo điều kiện thuận lợi cho cơ quan, tổ chức, doanh nghiệp và người dân thì cần thiết phải cắt giảm các loại giấy tờ không cần thiết và thực hiện tiếp nhận hồ sơ giải quyết thủ tục hành chính trên Cổng dịch vụ công quốc gia và Hệ thống thông tin giải quyết thủ tục hành chính của các bộ, ngành.</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xml:space="preserve">(3) Thực tế hiện nay, nhiều cơ quan, tổ chức, doanh nghiệp, cá nhân của các nước cho, tặng, viện trợ vũ khí, công cụ hỗ trợ cho cơ quan, tổ chức trong nước để nghiên cứu, sản xuất hoặc trang bị cho các đối tượng theo quy định của pháp luật. Tuy nhiên, tại Điều 5 Luật Quản lý, sử dụng vũ khí, vật liệu nổ và công cụ hỗ trợ năm 2017 quy định nghiêm cấm việc trao đổi, tặng, cho, gửi, mượn, cho mượn, thuê, cho thuê, cầm cố vũ khí, vật liệu nổ, công cụ hỗ trợ. Vì vậy, để tận dụng nguồn lực từ nước ngoài hỗ trợ Việt Nam trong nghiên cứu, sản xuất, trang bị, sử dụng vũ khí, công cụ hỗ trợ thì cần thiết phải bổ sung quy định cho phép cơ quan, tổ chức, doanh </w:t>
      </w:r>
      <w:r w:rsidRPr="00273BFE">
        <w:rPr>
          <w:rFonts w:ascii="Times New Roman" w:hAnsi="Times New Roman" w:cs="Times New Roman"/>
          <w:sz w:val="28"/>
          <w:szCs w:val="28"/>
        </w:rPr>
        <w:lastRenderedPageBreak/>
        <w:t>nghiệp trong nước được tiếp nhận vũ khí, công cụ hỗ trợ do cơ quan, tổ chức, doanh nghiệp và cá nhân nước ngoài cho, tặng, viện trợ.</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(4) Theo quy định của Luật Quản lý, sử dụng vũ khí, vật liệu nổ và công cụ hỗ trợ năm 2017 thì giấy phép sử dụng vũ khí quân dụng, vũ khí thể thao, công cụ hỗ trợ có thời hạn 05 năm, sau khi hết thời hạn được cấp đổi; một số loại công cụ hỗ trợ cấp giấy xác nhận đăng ký và không có thời hạn. Tuy nhiên, thực tế cho thấy, các loại vũ khí, công cụ hỗ trợ không có sự thay đổi về nhãn hiệu, ký hiệu, số hiệu; hằng năm cơ quan quản lý, cấp phép đã tiến hành kiểm tra, trong khi đó, việc cấp đổi giấy phép sử dụng phát sinh nhiều chi phí. Bên cạnh đó, giấy phép sử dụng và giấy xác nhận đều là giấy phép cấp cho các cơ quan, tổ chức, doanh nghiệp sử dụng vũ khí, công cụ hỗ trợ để thực hiện nhiệm vụ. Vì vậy, cần thiết sửa đổi, bổ sung quy định về cấp giấy phép sử dụng vũ khí, công cụ hỗ trợ theo hướng không quy định thời hạn và chuyển việc cấp giấy xác nhận đăng ký sang cấp giấy phép sử dụng.</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(5) Một số quy định về nghiên cứu, sản xuất, kinh doanh, vận chuyển và sử dụng vật liệu nổ công nghiệp trong Luật Quản lý, sử dụng vũ khí, vật liệu nổ và công cụ hỗ trợ năm 2017 chưa phù hợp với thực tiễn nên quá trình triển khai thực hiện gặp khó khăn, vướng mắc như: Quy định tổ chức, doanh nghiệp thực hiện nghiên cứu trên cơ sở đề án nghiên cứu được cơ quan có thẩm quyền phê duyệt là chưa phù hợp với Luật Khoa học và Công nghệ năm 2013; quy định: </w:t>
      </w:r>
      <w:r w:rsidRPr="00273BFE">
        <w:rPr>
          <w:rFonts w:ascii="Times New Roman" w:hAnsi="Times New Roman" w:cs="Times New Roman"/>
          <w:i/>
          <w:iCs/>
          <w:sz w:val="28"/>
          <w:szCs w:val="28"/>
        </w:rPr>
        <w:t>"Chủng loại sản phẩm, quy mô sản xuất phải phù hợp với định hướng phát triển ngành vật liệu nổ công nghiệp bảo đảm chất lượng và kỹ thuật an toàn" </w:t>
      </w:r>
      <w:r w:rsidRPr="00273BFE">
        <w:rPr>
          <w:rFonts w:ascii="Times New Roman" w:hAnsi="Times New Roman" w:cs="Times New Roman"/>
          <w:sz w:val="28"/>
          <w:szCs w:val="28"/>
        </w:rPr>
        <w:t xml:space="preserve">là chưa phù hợp với Luật Quy hoạch năm 2017. Hiện nay các tổ chức, doanh nghiệp thường xuyên nghiên cứu, chế tạo ra các loại vật liệu nổ công nghiệp mới nhưng chưa quy định việc đăng ký sản phẩm vật liệu nổ công nghiệp mới và không nằm trong danh mục vật liệu nổ công nghiệp nên công tác quản lý, sử dụng gặp rất nhiều khó khăn; quy định tổ chức, doanh nghiệp sử dụng vật liệu nổ công nghiệp không hết phải bán lại cho tổ chức, doanh </w:t>
      </w:r>
      <w:r w:rsidRPr="00273BFE">
        <w:rPr>
          <w:rFonts w:ascii="Times New Roman" w:hAnsi="Times New Roman" w:cs="Times New Roman"/>
          <w:sz w:val="28"/>
          <w:szCs w:val="28"/>
        </w:rPr>
        <w:lastRenderedPageBreak/>
        <w:t>nghiệp kinh doanh vật liệu nổ công nghiệp, giấy phép vận chuyển vật liệu nổ công nghiệp chỉ có giá trị cho 01 lượt vận chuyển và chưa có quy định về điều chỉnh cấp giấy phép sử dụng vật liệu nổ công nghiệp nên gây khó khăn cho các tổ chức, doanh nghiệp trong quá trình thực hiện. Vì vậy, cần thiết phải sửa đổi, bổ sung các nội dung trên nhằm đảm bảo phù hợp với thực tiễn, tạo điều kiện thuận lợi cho các cơ quan, tổ chức và người dân.</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b/>
          <w:bCs/>
          <w:sz w:val="28"/>
          <w:szCs w:val="28"/>
        </w:rPr>
        <w:t>2. Mục đích, quan điểm chỉ đạo xây dựng Luật</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(1) Mục đích:</w:t>
      </w:r>
      <w:r w:rsidRPr="00273BFE">
        <w:rPr>
          <w:rFonts w:ascii="Times New Roman" w:hAnsi="Times New Roman" w:cs="Times New Roman"/>
          <w:sz w:val="28"/>
          <w:szCs w:val="28"/>
        </w:rPr>
        <w:t> Xây dựng Dự án Luật Quản lý, sử dụng vũ khí, vật liệu nổ và công cụ hỗ trợ (sửa đổi) nhằm hoàn thiện cơ chế, chính sách, trình tự, thủ tục hành chính và khắc phục những khó khăn, vướng mắc, bất cập phát sinh trong quá trình thi hành, áp dụng pháp luật về quản lý, sử dụng vũ khí, vật liệu nổ và công cụ hỗ trợ nhằm bảo đảm thống nhất với các luật có liên quan; đồng thời, tạo cơ sở pháp lý trong công tác quản lý nhà nước và phòng ngừa, đấu tranh với tội phạm, vi phạm pháp luật về vũ khí, vật liệu nổ, công cụ hỗ trợ.</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(2) Quan điểm chỉ đạo xây dựng Luật</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Một là,</w:t>
      </w:r>
      <w:r w:rsidRPr="00273BFE">
        <w:rPr>
          <w:rFonts w:ascii="Times New Roman" w:hAnsi="Times New Roman" w:cs="Times New Roman"/>
          <w:sz w:val="28"/>
          <w:szCs w:val="28"/>
        </w:rPr>
        <w:t> tiếp tục thể chế hoá đầy đủ, kịp thời chủ trương, đường lối của Đảng, tăng cường hiệu quả quản lý nhà nước về quản lý, sử dụng vũ khí, vật liệu nổ, công cụ hỗ trợ.</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Hai là,</w:t>
      </w:r>
      <w:r w:rsidRPr="00273BFE">
        <w:rPr>
          <w:rFonts w:ascii="Times New Roman" w:hAnsi="Times New Roman" w:cs="Times New Roman"/>
          <w:sz w:val="28"/>
          <w:szCs w:val="28"/>
        </w:rPr>
        <w:t> bảo đảm phù hợp với chủ trương của Đảng, Nhà nước về cải cách thủ tục hành chính, cắt giảm, đơn giản hóa thủ tục hành chính; loại bỏ những quy định không hợp lý, đang là rào cản, gây khó khăn cho hoạt động sản xuất, kinh doanh của các cơ quan, tổ chức, doanh nghiệp.</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Ba là,</w:t>
      </w:r>
      <w:r w:rsidRPr="00273BFE">
        <w:rPr>
          <w:rFonts w:ascii="Times New Roman" w:hAnsi="Times New Roman" w:cs="Times New Roman"/>
          <w:sz w:val="28"/>
          <w:szCs w:val="28"/>
        </w:rPr>
        <w:t xml:space="preserve"> việc xây dựng dự án Luật phải được tiến hành trên cơ sở tổng kết thực tiễn trong những năm qua; kế thừa các quy định còn phù hợp, khắc phục những hạn </w:t>
      </w:r>
      <w:r w:rsidRPr="00273BFE">
        <w:rPr>
          <w:rFonts w:ascii="Times New Roman" w:hAnsi="Times New Roman" w:cs="Times New Roman"/>
          <w:sz w:val="28"/>
          <w:szCs w:val="28"/>
        </w:rPr>
        <w:lastRenderedPageBreak/>
        <w:t>chế, bất cập; tạo điều kiện thuận lợi cho người dân, doanh nghiệp, góp phần quản lý, phòng ngừa, đấu tranh chống tội phạm và vi phạm pháp luật.</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Bốn là,</w:t>
      </w:r>
      <w:r w:rsidRPr="00273BFE">
        <w:rPr>
          <w:rFonts w:ascii="Times New Roman" w:hAnsi="Times New Roman" w:cs="Times New Roman"/>
          <w:sz w:val="28"/>
          <w:szCs w:val="28"/>
        </w:rPr>
        <w:t> bảo đảm phù hợp với hiến pháp, pháp luật Việt Nam và các điều ước quốc tế mà Việt Nam là thành viên; tham khảo có chọn lọc kinh nghiệm của các nước trong quản lý, sử dụng vũ khí, vật liệu nổ, công cụ hỗ trợ.</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b/>
          <w:bCs/>
          <w:sz w:val="28"/>
          <w:szCs w:val="28"/>
        </w:rPr>
        <w:t>3. Nội dung cơ bản và những chính sách mới của dự thảo Luật</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(1) Nội dung cơ bản của dự thảo Luật</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Dự thảo Luật bao gồm 08 chương, 74 điều, như sau: </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Chương I gồm 17 điều quy định về phạm vi điều chỉnh; đối tượng áp dụng, giải thích từ ngữ; nguyên tắc; trách nhiệm của người đứng đầu; điều kiện, trách nhiệm của người được giao quản lý, sử dụng; quản lý, bảo quản, thu hồi vũ khí, vật liệu nổ, công cụ hỗ trợ; mang vũ khí, công cụ hỗ trợ ra, vào khỏi lãnh thổ nước Cộng hoà xã hội chủ nghĩa Việt Nam; quản lý, sử dụng vũ khí, vật liệu nổ, công cụ hỗ trợ để triển lãm, trưng bày, chào hàng, giới thiệu sản phẩm hoặc làm đạo cụ trong hoạt động văn hoá, nghệ thuật; cho, tặng, viện trợ và giám định vũ khí, công cụ hỗ trợ.</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Chương II gồm 16 điều quy định về nghiên cứu, chế tạo, sản xuất, sửa chữa, kinh doanh, xuất khẩu, nhập khẩu vũ khí; đối tượng, thủ tục cấp giấy phép, loại vũ khí trang bị; nguyên tắc và các trường hợp nổ súng quân dụng; thủ tục khai báo vũ khí thô sơ và dao có tính sát thương cao trong sản xuất, kinh doanh, xuất khẩu, nhập khẩu.</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Chương III, IV gồm 17 điều quy định về nghiên cứu, chế tạo, sản xuất, kinh doanh, xuất khẩu, nhập khẩu, vận chuyển, sử dụng vật liệu nổ quân dụng, vật liệu nổ công nghiệp và tiền chất thuốc nổ; dịch vụ nổ mìn và trách nhiệm của các tổ chức, doanh nghiệp trong lĩnh vực này.</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lastRenderedPageBreak/>
        <w:t>- Chương V gồm 11 điều quy định về nghiên cứu, chế tạo, sản xuất, kinh doanh, xuất khẩu, nhập khẩu, sửa chữa công cụ hỗ trợ; đối tượng trang bị, vận chuyển, sử dụng và trách nhiệm của cơ quan, tổ chức, doanh nghiệp trong lĩnh vực này.</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Chương VI gồm 09 điều quy định về tiếp nhận, thu gom, phân loại, bảo quản, thanh lý, tiêu huỷ.</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Chương VII, VIII gồm 05 điều quy định quản lý nhà nước về vũ khí, vật liệu nổ, công cụ hỗ trợ và điều khoản thi hành.</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(2) Một số chính sách mới của dự thảo Luật</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Dự thảo Luật Quản lý, sử dụng vũ khí, vật liệu nổ và công cụ hỗ trợ (sửa đổi) đã sửa đổi, bổ sung 55 điều, trong đó: Sửa đổi các khái niệm; hành vi bị nghiêm cấm; các quy định về nghiên cứu, sản xuất, kinh doanh, xuất khẩu, nhập khẩu, trang bị, sử dụng vũ khí, vật liệu nổ, tiền chất thuốc nổ, công cụ hỗ trợ; sửa đổi 30 điều về thủ tục hành chính; bổ sung 01 điều quy định về đối tượng, điều kiện, thẩm quyền, thủ tục tiếp nhận và quản lý, sử dụng vũ khí, công cụ hỗ trợ do tổ chức, doanh nghiệp, cá nhân nước ngoài cho, tặng, viện trợ... Một số nội dung sửa đổi, bổ sung mới, quan trọng, cần thiết phải tuyên truyền để tạo sự ủng hộ, đồng thuận của xã hội, nhân dân, nhất là các đại biểu Quốc hội, cụ thể như sau:</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(1) Về việc bổ sung các loại súng bắn đạn ghém, súng kíp, súng nén khí, súng nén hơi và đạn sử dụng cho các loại súng này</w:t>
      </w:r>
      <w:r w:rsidRPr="00273BFE">
        <w:rPr>
          <w:rFonts w:ascii="Times New Roman" w:hAnsi="Times New Roman" w:cs="Times New Roman"/>
          <w:sz w:val="28"/>
          <w:szCs w:val="28"/>
        </w:rPr>
        <w:t> </w:t>
      </w:r>
      <w:r w:rsidRPr="00273BFE">
        <w:rPr>
          <w:rFonts w:ascii="Times New Roman" w:hAnsi="Times New Roman" w:cs="Times New Roman"/>
          <w:i/>
          <w:iCs/>
          <w:sz w:val="28"/>
          <w:szCs w:val="28"/>
        </w:rPr>
        <w:t>vào nhóm vũ khí quân dụng.</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Lý do: Luật Quản lý, sử dụng vũ khí, vật liệu nổ và công cụ hỗ trợ năm 2017 chỉ quy định một số loại vũ khí này là súng săn </w:t>
      </w:r>
      <w:r w:rsidRPr="00273BFE">
        <w:rPr>
          <w:rFonts w:ascii="Times New Roman" w:hAnsi="Times New Roman" w:cs="Times New Roman"/>
          <w:i/>
          <w:iCs/>
          <w:sz w:val="28"/>
          <w:szCs w:val="28"/>
        </w:rPr>
        <w:t>(súng kíp, súng hơi)</w:t>
      </w:r>
      <w:r w:rsidRPr="00273BFE">
        <w:rPr>
          <w:rFonts w:ascii="Times New Roman" w:hAnsi="Times New Roman" w:cs="Times New Roman"/>
          <w:sz w:val="28"/>
          <w:szCs w:val="28"/>
        </w:rPr>
        <w:t>, vũ khí thể thao </w:t>
      </w:r>
      <w:r w:rsidRPr="00273BFE">
        <w:rPr>
          <w:rFonts w:ascii="Times New Roman" w:hAnsi="Times New Roman" w:cs="Times New Roman"/>
          <w:i/>
          <w:iCs/>
          <w:sz w:val="28"/>
          <w:szCs w:val="28"/>
        </w:rPr>
        <w:t>(súng trường hơi, súng trường bắn đạn nổ, súng ngắn hơi, súng ngắn bắn đạn nổ, súng thể thao bắn đạn sơn, súng bắn đĩa bay)</w:t>
      </w:r>
      <w:r w:rsidRPr="00273BFE">
        <w:rPr>
          <w:rFonts w:ascii="Times New Roman" w:hAnsi="Times New Roman" w:cs="Times New Roman"/>
          <w:sz w:val="28"/>
          <w:szCs w:val="28"/>
        </w:rPr>
        <w:t xml:space="preserve">; việc quy định như trên đã không bao quát đầy đủ các loại súng nên thực tế còn rất nhiều loại súng bắn đạn ghém, súng </w:t>
      </w:r>
      <w:r w:rsidRPr="00273BFE">
        <w:rPr>
          <w:rFonts w:ascii="Times New Roman" w:hAnsi="Times New Roman" w:cs="Times New Roman"/>
          <w:sz w:val="28"/>
          <w:szCs w:val="28"/>
        </w:rPr>
        <w:lastRenderedPageBreak/>
        <w:t>nén khí, súng nén hơi không được quy định trong Luật này. Trong khi đó, tại Điều 306 Bộ luật Hình sự năm 2015 (sửa đổi, bổ sung năm 2017) quy định chỉ xử lý hình sự được đối với tội chế tạo, tàng trữ, vận chuyển, mua bán, sử dụng trái phép hoặc chiếm đoạt súng săn, vũ khí thể thao khi đối tượng đã bị xử phạt vi phạm hành chính về hành vi này hoặc đã bị kết án về tội này, chưa được xoá án tích.</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Qua tổng kết 05 năm thi hành Luật thấy, trong tổng số 2.113 vụ đối tượng sử dụng trái phép các loại súng gây án, giết người, cướp tài sản, cố ý gây thương tích, chống người thi hành công vụ, gây rối trật tự công cộng… thì chỉ có 330 vụ đối tượng sử dụng súng quân dụng, còn lại 1.783 vụ </w:t>
      </w:r>
      <w:r w:rsidRPr="00273BFE">
        <w:rPr>
          <w:rFonts w:ascii="Times New Roman" w:hAnsi="Times New Roman" w:cs="Times New Roman"/>
          <w:b/>
          <w:bCs/>
          <w:i/>
          <w:iCs/>
          <w:sz w:val="28"/>
          <w:szCs w:val="28"/>
        </w:rPr>
        <w:t>(chiếm 84,4%)</w:t>
      </w:r>
      <w:r w:rsidRPr="00273BFE">
        <w:rPr>
          <w:rFonts w:ascii="Times New Roman" w:hAnsi="Times New Roman" w:cs="Times New Roman"/>
          <w:sz w:val="28"/>
          <w:szCs w:val="28"/>
        </w:rPr>
        <w:t> đối tượng sử dụng súng tự chế</w:t>
      </w:r>
      <w:r w:rsidRPr="00273BFE">
        <w:rPr>
          <w:rFonts w:ascii="Times New Roman" w:hAnsi="Times New Roman" w:cs="Times New Roman"/>
          <w:i/>
          <w:iCs/>
          <w:sz w:val="28"/>
          <w:szCs w:val="28"/>
        </w:rPr>
        <w:t> (súng bắn đạn ghém, súng nén khí, nén hơi…),</w:t>
      </w:r>
      <w:r w:rsidRPr="00273BFE">
        <w:rPr>
          <w:rFonts w:ascii="Times New Roman" w:hAnsi="Times New Roman" w:cs="Times New Roman"/>
          <w:sz w:val="28"/>
          <w:szCs w:val="28"/>
        </w:rPr>
        <w:t> nhiều vụ gây hậu quả đặc biệt nghiêm trọng, làm chết nhiều người, nguy hiểm như vũ khí quân dụng. Do đó, cần thiết phải bổ sung các loại vũ khí này vào nhóm vũ khí quân dụng, giao Bộ trưởng Bộ Công an ban hành danh mục; các loại vũ khí này khi được trang bị để sử dụng trong hoạt động luyện tập, thi đấu thể thao hoặc để săn bắn thì được xác định là vũ khí thể thao hoặc súng săn.</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(2) Về việc bổ sung dao có tính sát thương cao vào nhóm vũ khí thô sơ; trường hợp sử dụng dao có tính sát thương cao</w:t>
      </w:r>
      <w:r w:rsidRPr="00273BFE">
        <w:rPr>
          <w:rFonts w:ascii="Times New Roman" w:hAnsi="Times New Roman" w:cs="Times New Roman"/>
          <w:sz w:val="28"/>
          <w:szCs w:val="28"/>
        </w:rPr>
        <w:t> </w:t>
      </w:r>
      <w:r w:rsidRPr="00273BFE">
        <w:rPr>
          <w:rFonts w:ascii="Times New Roman" w:hAnsi="Times New Roman" w:cs="Times New Roman"/>
          <w:i/>
          <w:iCs/>
          <w:sz w:val="28"/>
          <w:szCs w:val="28"/>
        </w:rPr>
        <w:t>vào mục đích lao động, sản xuất, sinh hoạt thì không thuộc phạm vi điều chỉnh của Luật này; vũ khí thô sơ được trang bị cho lực lượng vũ trang nhân dân và các lực lượng khác để thi hành công vụ hoặc không được trang bị cho các đối tượng theo quy định của Luật này nhưng sử dụng với mục đích xâm phạm tính mạng, sức khoẻ con người trái pháp luật</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xml:space="preserve">Lý do: Luật Quản lý, sử dụng vũ khí, vật liệu nổ và công cụ hỗ trợ năm 2017 không quy định dao có tính sát thương cao là vũ khí; vũ khí thô sơ được trang bị cho lực lượng vũ trang nhân dân và các lực lượng khác để thi hành công vụ hoặc không được trang bị cho các đối tượng theo quy định của Luật này nhưng sử dụng với mục đích xâm phạm tính mạng, sức khoẻ con người trái pháp luật không được xác định </w:t>
      </w:r>
      <w:r w:rsidRPr="00273BFE">
        <w:rPr>
          <w:rFonts w:ascii="Times New Roman" w:hAnsi="Times New Roman" w:cs="Times New Roman"/>
          <w:sz w:val="28"/>
          <w:szCs w:val="28"/>
        </w:rPr>
        <w:lastRenderedPageBreak/>
        <w:t>là vũ khí quân dụng. Trong khi đó, tại Điều 306 Bộ luật Hình sự năm 2015 (sửa đổi, bổ sung năm 2017) quy định chỉ xử lý hình sự được đối với tội chế tạo, tàng trữ, vận chuyển, mua bán, sử dụng trái phép hoặc chiếm đoạt vũ khí thô sơ khi đối tượng đã bị xử phạt vi phạm hành chính về hành vi này hoặc đã bị kết án về tội này, chưa được xoá án tích.</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Qua tổng kết 05 năm thi hành Luật thấy, trong tổng số 28.715 vụ đối tượng sử dụng trái phép vũ khí, vật liệu nổ, công cụ hỗ trợ gây án giết người, cướp tài sản, cố ý gây thương tích, chống người thi hành công vụ, gây rối trật tự công cộng… thì có đến 25.378 vụ </w:t>
      </w:r>
      <w:r w:rsidRPr="00273BFE">
        <w:rPr>
          <w:rFonts w:ascii="Times New Roman" w:hAnsi="Times New Roman" w:cs="Times New Roman"/>
          <w:b/>
          <w:bCs/>
          <w:i/>
          <w:iCs/>
          <w:sz w:val="28"/>
          <w:szCs w:val="28"/>
        </w:rPr>
        <w:t>(chiếm 88,4%)</w:t>
      </w:r>
      <w:r w:rsidRPr="00273BFE">
        <w:rPr>
          <w:rFonts w:ascii="Times New Roman" w:hAnsi="Times New Roman" w:cs="Times New Roman"/>
          <w:sz w:val="28"/>
          <w:szCs w:val="28"/>
        </w:rPr>
        <w:t> đối tượng sử dụng vũ khí thô sơ, dao và phương tiện tương tự dao gây án, riêng đối tượng, sử dụng các loại dao gây án là 16.841/25.378 vụ </w:t>
      </w:r>
      <w:r w:rsidRPr="00273BFE">
        <w:rPr>
          <w:rFonts w:ascii="Times New Roman" w:hAnsi="Times New Roman" w:cs="Times New Roman"/>
          <w:b/>
          <w:bCs/>
          <w:i/>
          <w:iCs/>
          <w:sz w:val="28"/>
          <w:szCs w:val="28"/>
        </w:rPr>
        <w:t>(chiếm 66,4%)</w:t>
      </w:r>
      <w:r w:rsidRPr="00273BFE">
        <w:rPr>
          <w:rFonts w:ascii="Times New Roman" w:hAnsi="Times New Roman" w:cs="Times New Roman"/>
          <w:i/>
          <w:iCs/>
          <w:sz w:val="28"/>
          <w:szCs w:val="28"/>
        </w:rPr>
        <w:t>,</w:t>
      </w:r>
      <w:r w:rsidRPr="00273BFE">
        <w:rPr>
          <w:rFonts w:ascii="Times New Roman" w:hAnsi="Times New Roman" w:cs="Times New Roman"/>
          <w:sz w:val="28"/>
          <w:szCs w:val="28"/>
        </w:rPr>
        <w:t> nhiều vụ đối tượng sử dụng dao nhọn, sắc có tính sát thương rất cao </w:t>
      </w:r>
      <w:r w:rsidRPr="00273BFE">
        <w:rPr>
          <w:rFonts w:ascii="Times New Roman" w:hAnsi="Times New Roman" w:cs="Times New Roman"/>
          <w:i/>
          <w:iCs/>
          <w:sz w:val="28"/>
          <w:szCs w:val="28"/>
        </w:rPr>
        <w:t>(dao bầu, dao phay, dao quắm…)</w:t>
      </w:r>
      <w:r w:rsidRPr="00273BFE">
        <w:rPr>
          <w:rFonts w:ascii="Times New Roman" w:hAnsi="Times New Roman" w:cs="Times New Roman"/>
          <w:sz w:val="28"/>
          <w:szCs w:val="28"/>
        </w:rPr>
        <w:t xml:space="preserve"> giết người với tính chất rất manh động, tàn ác, dã man gây bức xúc dư luận xã hội, hoang mang, lo lắng trong nhân dân. Thực tế hiện nay, tình trạng đối tượng là thanh, thiếu niên thành lập các băng, nhóm, tự hoán cải các loại dao sắc, nhọn, hàn thêm tuýp sắt dài từ 01m đến 02m để giải quyết mâu thuẫn, thanh toán lẫn nhau, đe dọa người dân, gây bức xúc dư luận xã hội; do đó, cần phải đưa dao có tính sát thương cao vào nhóm vũ khí thô sơ. Bên cạnh đó, vũ khí thô sơ khi được trang bị cho lực lượng vũ trang để sử dụng để đấu tranh trực diện, trực tiếp với tội phạm nhằm bảo vệ an ninh quốc gia, bảo đảm trật tự an toàn xã hội, các loại vũ khí này khi đối tượng sử dụng xâm phạm đến tính mạng, sức khoẻ con người cũng nguy hiểm như các loại vũ khí quân dụng khác; do đó, cần thiết phải đưa các loại vũ khí thô sơ này vào nhóm vũ khí quân dụng nhằm điều chỉnh nhận thức, hành vi của các đối tượng, giảm nguồn tội phạm. Tuy nhiên, dao có tính sát thương cao là phương tiện lưỡng dụng, được người dân sử dụng phổ biến trong lao động, sản xuất, sinh hoạt hàng ngày, do đó, để bảo đảm không ảnh hưởng, tác động đến đời sống xã hội của nhân dân nên dự thảo Luật chỉ quy định </w:t>
      </w:r>
      <w:r w:rsidRPr="00273BFE">
        <w:rPr>
          <w:rFonts w:ascii="Times New Roman" w:hAnsi="Times New Roman" w:cs="Times New Roman"/>
          <w:sz w:val="28"/>
          <w:szCs w:val="28"/>
        </w:rPr>
        <w:lastRenderedPageBreak/>
        <w:t>dao có tính sát thương cao là vũ khí khi đối tượng sử dụng vào mục đích trái pháp luật; trường hợp sử dụng dao có tính sát thương cao vào mục đích lao động, sản xuất, sinh hoạt thì không thuộc phạm vi điều chỉnh của Luật này.</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Như vậy, việc quy định dao có tính sát thương cao trong dự thảo Luật được phân định rõ: Dao có tính sát thương cao khi sử dụng với mục đích trái pháp luật là vũ khí thô sơ; Dao có tính sát thương cao khi được trang bị cho lực lượng vũ trang và các lực lượng khác để thi hành công vụ hoặc sử dụng với mục đích xâm phạm tính mạng, sức khoẻ con người trái pháp luật là vũ khí quân dụng; dao có tính sát thương cao sử dụng vào mục đích lao động, sản xuất, sinh hoạt thì không thuộc phạm vi điều chỉnh của Luật này.</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(3) Bổ sung quy định khái niệm linh kiện lắp ráp súng quân dụng là vũ khí quân dụng.</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Lý do: Việc bổ sung khái niệm linh kiện vũ khí là cần thiết vì thực tế hiện nay các đối tượng đang lợi dụng kẽ hở của pháp luật tháo rời súng thành các bộ phận để mua bán, vận chuyển trái phép; sau khi các đối tượng đã mua đủ các bộ phận lắp ráp thành súng sử dụng gây án, nhiều vụ gây hậu quả đặc biệt nghiêm trọng. Qua tổng kết 05 năm thi hành Luật, các lực lượng chức năng đã phát hiện 743 vụ, bắt giữ 745 đối tượng, thu 601.468 linh kiện vũ khí, nhưng việc xử lý gặp rất nhiều khó khăn, nhất là trong việc xử lý hình sự đối với các hành vi này. Chính vì vậy, thực tế đối tượng đã lợi dụng kẽ hở của pháp luật tháo rời vũ khí quân dụng thành các bộ phận để mua bán, vận chuyển trái phép, hiện nay hành vi này đang diễn biến rất phức tạp và có chiều hướng gia tăng. Bên cạnh đó, qua nghiên cứu, tham khảo luật của một số nước như: Hàn Quốc, Thái Lan, Trung Quốc, Australia… đều quy định vũ khí bao gồm cả linh kiện lắp ráp vũ khí.</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lastRenderedPageBreak/>
        <w:t>(4) Bổ sung quy định về việc</w:t>
      </w:r>
      <w:r w:rsidRPr="00273BFE">
        <w:rPr>
          <w:rFonts w:ascii="Times New Roman" w:hAnsi="Times New Roman" w:cs="Times New Roman"/>
          <w:sz w:val="28"/>
          <w:szCs w:val="28"/>
        </w:rPr>
        <w:t> </w:t>
      </w:r>
      <w:r w:rsidRPr="00273BFE">
        <w:rPr>
          <w:rFonts w:ascii="Times New Roman" w:hAnsi="Times New Roman" w:cs="Times New Roman"/>
          <w:i/>
          <w:iCs/>
          <w:sz w:val="28"/>
          <w:szCs w:val="28"/>
        </w:rPr>
        <w:t>tiếp nhận vũ khí, công cụ hỗ trợ do tổ chức, doanh nghiệp, cá nhân nước ngoài cho, tặng, viện trợ.</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Lý do: Tại Điều 5 Luật Quản lý, sử dụng vũ khí, vật liệu nổ và công cụ hỗ trợ năm 2017 quy định nghiêm cấm việc trao đổi, tặng, cho, gửi, mượn, cho mượn, thuê, cho thuê, cầm cố vũ khí, vật liệu nổ, công cụ hỗ trợ. Tuy nhiên, qua 05 năm thi hành Luật thấy, thực tế nhiều tổ chức, doanh nghiệp, cá nhân của các nước có nhu cầu cho, tặng, viện trợ một số loại vũ khí </w:t>
      </w:r>
      <w:r w:rsidRPr="00273BFE">
        <w:rPr>
          <w:rFonts w:ascii="Times New Roman" w:hAnsi="Times New Roman" w:cs="Times New Roman"/>
          <w:i/>
          <w:iCs/>
          <w:sz w:val="28"/>
          <w:szCs w:val="28"/>
        </w:rPr>
        <w:t>(súng cầm tay, vũ khí thể thao, vũ khí thô sơ)</w:t>
      </w:r>
      <w:r w:rsidRPr="00273BFE">
        <w:rPr>
          <w:rFonts w:ascii="Times New Roman" w:hAnsi="Times New Roman" w:cs="Times New Roman"/>
          <w:sz w:val="28"/>
          <w:szCs w:val="28"/>
        </w:rPr>
        <w:t>, công cụ hỗ trợ cho Việt Nam để phục vụ việc nghiên cứu, sản xuất hoặc trang bị cho các đối tượng theo quy định của pháp luật để sử dụng thi hành công vụ, luyện tập, thi đấu thể thao hoặc để trưng bày triển lãm. Do đó, để tận dụng nguồn lực từ nước ngoài hỗ trợ Việt Nam trong nghiên cứu, sản xuất, trang bị, sử dụng vũ khí, công cụ hỗ trợ thì cần thiết phải nghiên cứu, sửa đổi, bổ sung các quy định này trong Luật Quản lý, sử dụng vũ khí, vật liệu nổ và công cụ hỗ trợ (sửa đổi) cho phù hợp, đáp ứng yêu cầu thực tiễn và công tác quản lý nhà nước về vũ khí, vật liệu nổ và công cụ hỗ trợ.</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i/>
          <w:iCs/>
          <w:sz w:val="28"/>
          <w:szCs w:val="28"/>
        </w:rPr>
        <w:t>(5) Về việc sửa đổi, cắt giảm các giấy tờ, thủ tục tại các điều quy định về thủ tục cấp các loại giấy phép, giấy xác nhận về vũ khí, vật liệu nổ, tiền chất thuốc nổ, công cụ hỗ trợ; quy định về cấp giấy phép sử dụng vũ khí, công cụ hỗ trợ theo hướng không quy định thời hạn và chuyển việc cấp giấy xác nhận đăng ký sang cấp giấy phép sử dụng.</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 xml:space="preserve">Lý do: Luật Quản lý, sử dụng vũ khí, vật liệu nổ và công cụ hỗ trợ năm 2017, có 30 điều quy định về thủ tục cấp các loại giấy phép, giấy xác nhận về vũ khí, vật liệu nổ, tiền chất thuốc nổ, công cụ hỗ trợ, trong đó, yêu cầu cơ quan, tổ chức, doanh nghiệp phải trực tiếp nộp hồ sơ tại cơ quan có thẩm quyền cấp phép kèm theo rất nhiều các loại giấy tờ như: Giấy chứng nhận đăng ký doanh nghiệp; Giấy chứng nhận đủ điều kiện về an ninh trật tự; Căn cước công dân; các quyết định phê duyệt, </w:t>
      </w:r>
      <w:r w:rsidRPr="00273BFE">
        <w:rPr>
          <w:rFonts w:ascii="Times New Roman" w:hAnsi="Times New Roman" w:cs="Times New Roman"/>
          <w:sz w:val="28"/>
          <w:szCs w:val="28"/>
        </w:rPr>
        <w:lastRenderedPageBreak/>
        <w:t>hồ sơ, giấy tờ chứng minh các điều kiện hoạt động…Để thực hiện cải cách, đơn giản hoá thủ tục hành chính, tạo điều kiện thuận lợi cho cơ quan, tổ chức, doanh nghiệp và người dân thì cần thiết phải cắt giảm các loại giấy tờ trên và thực hiện tiếp nhận hồ sơ giải quyết thủ tục hành chính trên Cổng dịch vụ công quốc gia và Hệ thống thông tin giải quyết thủ tục hành chính của các bộ. Do đó, cần thiết phải sửa đổi các quy định tại 30 điều về thủ tục cấp giấy phép.</w:t>
      </w:r>
    </w:p>
    <w:p w:rsidR="00273BFE" w:rsidRPr="00273BFE" w:rsidRDefault="00273BFE" w:rsidP="00273BFE">
      <w:pPr>
        <w:spacing w:line="360" w:lineRule="auto"/>
        <w:ind w:firstLine="720"/>
        <w:jc w:val="both"/>
        <w:rPr>
          <w:rFonts w:ascii="Times New Roman" w:hAnsi="Times New Roman" w:cs="Times New Roman"/>
          <w:sz w:val="28"/>
          <w:szCs w:val="28"/>
        </w:rPr>
      </w:pPr>
      <w:r w:rsidRPr="00273BFE">
        <w:rPr>
          <w:rFonts w:ascii="Times New Roman" w:hAnsi="Times New Roman" w:cs="Times New Roman"/>
          <w:sz w:val="28"/>
          <w:szCs w:val="28"/>
        </w:rPr>
        <w:t>Luật Quản lý, sử dụng vũ khí, vật liệu nổ và công cụ hỗ trợ năm 2017 quy định giấy phép sử dụng vũ khí quân dụng, vũ khí thể thao, công cụ hỗ trợ có thời hạn 05 năm, sau khi hết thời hạn cơ quan, tổ chức, doanh nghiệp phải làm thủ tục cấp đổi; một số loại công cụ hỗ trợ </w:t>
      </w:r>
      <w:r w:rsidRPr="00273BFE">
        <w:rPr>
          <w:rFonts w:ascii="Times New Roman" w:hAnsi="Times New Roman" w:cs="Times New Roman"/>
          <w:i/>
          <w:iCs/>
          <w:sz w:val="28"/>
          <w:szCs w:val="28"/>
        </w:rPr>
        <w:t>(dùi cui cao su, áo giáp, găng tay bắt dao, quả nổ, bình xịt hơi cay...)</w:t>
      </w:r>
      <w:r w:rsidRPr="00273BFE">
        <w:rPr>
          <w:rFonts w:ascii="Times New Roman" w:hAnsi="Times New Roman" w:cs="Times New Roman"/>
          <w:sz w:val="28"/>
          <w:szCs w:val="28"/>
        </w:rPr>
        <w:t> được cấp giấy xác nhận đăng ký và không có thời hạn. Tuy nhiên, qua tổng kết 05 năm thi hành Luật thấy, các loại vũ khí, công cụ hỗ trợ đã được cấp giấy phép sử dụng không có sự thay đổi về chủng loại, nhãn hiệu, ký hiệu, số hiệu; hằng năm cơ quan quản lý, cấp phép đã tiến hành kiểm tra; việc cấp đổi giấy phép sử dụng phát sinh nhiều chi phí, thời gian, nhân lực; giấy phép sử dụng và giấy xác nhận đều là loại giấy phép cấp cho các cơ quan, tổ chức, doanh nghiệp sử dụng để thực hiện nhiệm vụ. Vì vậy, cần thiết sửa đổi, bổ sung các điều quy định về cấp giấy phép sử dụng vũ khí, công cụ hỗ trợ theo hướng không quy định thời hạn giấy phép sử dụng và chuyển việc cấp giấy xác nhận đăng ký sang cấp giấy phép sử dụng công cụ hỗ trợ.</w:t>
      </w:r>
    </w:p>
    <w:p w:rsidR="00D132A4" w:rsidRPr="00273BFE" w:rsidRDefault="00D132A4">
      <w:pPr>
        <w:rPr>
          <w:rFonts w:ascii="Times New Roman" w:hAnsi="Times New Roman" w:cs="Times New Roman"/>
          <w:sz w:val="28"/>
          <w:szCs w:val="28"/>
        </w:rPr>
      </w:pPr>
    </w:p>
    <w:sectPr w:rsidR="00D132A4" w:rsidRPr="00273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FE"/>
    <w:rsid w:val="00273BFE"/>
    <w:rsid w:val="00D1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B1D54-01A7-4FC6-BEEB-4DC3531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1705">
      <w:bodyDiv w:val="1"/>
      <w:marLeft w:val="0"/>
      <w:marRight w:val="0"/>
      <w:marTop w:val="0"/>
      <w:marBottom w:val="0"/>
      <w:divBdr>
        <w:top w:val="none" w:sz="0" w:space="0" w:color="auto"/>
        <w:left w:val="none" w:sz="0" w:space="0" w:color="auto"/>
        <w:bottom w:val="none" w:sz="0" w:space="0" w:color="auto"/>
        <w:right w:val="none" w:sz="0" w:space="0" w:color="auto"/>
      </w:divBdr>
    </w:div>
    <w:div w:id="244078086">
      <w:bodyDiv w:val="1"/>
      <w:marLeft w:val="0"/>
      <w:marRight w:val="0"/>
      <w:marTop w:val="0"/>
      <w:marBottom w:val="0"/>
      <w:divBdr>
        <w:top w:val="none" w:sz="0" w:space="0" w:color="auto"/>
        <w:left w:val="none" w:sz="0" w:space="0" w:color="auto"/>
        <w:bottom w:val="none" w:sz="0" w:space="0" w:color="auto"/>
        <w:right w:val="none" w:sz="0" w:space="0" w:color="auto"/>
      </w:divBdr>
      <w:divsChild>
        <w:div w:id="1647008584">
          <w:marLeft w:val="0"/>
          <w:marRight w:val="0"/>
          <w:marTop w:val="0"/>
          <w:marBottom w:val="0"/>
          <w:divBdr>
            <w:top w:val="none" w:sz="0" w:space="0" w:color="auto"/>
            <w:left w:val="none" w:sz="0" w:space="0" w:color="auto"/>
            <w:bottom w:val="none" w:sz="0" w:space="0" w:color="auto"/>
            <w:right w:val="none" w:sz="0" w:space="0" w:color="auto"/>
          </w:divBdr>
        </w:div>
      </w:divsChild>
    </w:div>
    <w:div w:id="1356613846">
      <w:bodyDiv w:val="1"/>
      <w:marLeft w:val="0"/>
      <w:marRight w:val="0"/>
      <w:marTop w:val="0"/>
      <w:marBottom w:val="0"/>
      <w:divBdr>
        <w:top w:val="none" w:sz="0" w:space="0" w:color="auto"/>
        <w:left w:val="none" w:sz="0" w:space="0" w:color="auto"/>
        <w:bottom w:val="none" w:sz="0" w:space="0" w:color="auto"/>
        <w:right w:val="none" w:sz="0" w:space="0" w:color="auto"/>
      </w:divBdr>
      <w:divsChild>
        <w:div w:id="1751122426">
          <w:marLeft w:val="0"/>
          <w:marRight w:val="0"/>
          <w:marTop w:val="0"/>
          <w:marBottom w:val="0"/>
          <w:divBdr>
            <w:top w:val="none" w:sz="0" w:space="0" w:color="auto"/>
            <w:left w:val="none" w:sz="0" w:space="0" w:color="auto"/>
            <w:bottom w:val="none" w:sz="0" w:space="0" w:color="auto"/>
            <w:right w:val="none" w:sz="0" w:space="0" w:color="auto"/>
          </w:divBdr>
        </w:div>
      </w:divsChild>
    </w:div>
    <w:div w:id="15591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Doc NAH</dc:creator>
  <cp:keywords/>
  <dc:description/>
  <cp:lastModifiedBy>Phong Doc NAH</cp:lastModifiedBy>
  <cp:revision>1</cp:revision>
  <dcterms:created xsi:type="dcterms:W3CDTF">2024-07-25T08:57:00Z</dcterms:created>
  <dcterms:modified xsi:type="dcterms:W3CDTF">2024-07-25T09:00:00Z</dcterms:modified>
</cp:coreProperties>
</file>