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AE1CF9" w:rsidP="00CF426F">
      <w:pPr>
        <w:spacing w:line="360" w:lineRule="auto"/>
        <w:ind w:firstLine="720"/>
        <w:jc w:val="both"/>
        <w:rPr>
          <w:rFonts w:ascii="Times New Roman" w:hAnsi="Times New Roman" w:cs="Times New Roman"/>
          <w:b/>
          <w:sz w:val="28"/>
          <w:szCs w:val="28"/>
        </w:rPr>
      </w:pPr>
      <w:bookmarkStart w:id="0" w:name="_GoBack"/>
      <w:r w:rsidRPr="00AE1CF9">
        <w:rPr>
          <w:rFonts w:ascii="Times New Roman" w:hAnsi="Times New Roman" w:cs="Times New Roman"/>
          <w:b/>
          <w:sz w:val="28"/>
          <w:szCs w:val="28"/>
        </w:rPr>
        <w:t>Những vướng mắc, bất cập của Luật Chất lượng sản phẩm, hàng hóa cần sửa đổi</w:t>
      </w:r>
      <w:bookmarkEnd w:id="0"/>
    </w:p>
    <w:p w:rsidR="00CF426F" w:rsidRPr="00CF426F" w:rsidRDefault="00AE1CF9" w:rsidP="00CF426F">
      <w:pPr>
        <w:spacing w:line="360" w:lineRule="auto"/>
        <w:ind w:firstLine="720"/>
        <w:jc w:val="both"/>
        <w:rPr>
          <w:rFonts w:ascii="Times New Roman" w:hAnsi="Times New Roman" w:cs="Times New Roman"/>
          <w:i/>
          <w:iCs/>
          <w:sz w:val="28"/>
          <w:szCs w:val="28"/>
        </w:rPr>
      </w:pPr>
      <w:r w:rsidRPr="00AE1CF9">
        <w:rPr>
          <w:rFonts w:ascii="Times New Roman" w:hAnsi="Times New Roman" w:cs="Times New Roman"/>
          <w:i/>
          <w:iCs/>
          <w:sz w:val="28"/>
          <w:szCs w:val="28"/>
        </w:rPr>
        <w:t>Sau hơn 14 năm thi hành Luật Chất lượng sản phẩm hàng hoá (CLSPHH) đã phát sinh một số bất cập, hạn chế trong thực tiễn cũng như hội nhập quốc tế cần phải sửa đổi.</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Bộ KH&amp;CN cho biết, sau hơn 14 năm thi hành Luật Chất lượng sản phẩm hàng hoá (CLSPHH), bên cạnh những kết quả đạt được, Luật CLSPHH đã phát sinh một số bất cập, hạn chế trong thực tiễn cũng như hội nhập quốc tế nói chung và triển khai thi hành cam kết tại các FTA, đòi hỏi phải sửa đổi để phù hợp với thực tiễn và thúc đẩy sự phát triển, hoàn thiện hệ thống tiêu chuẩn, quy chuẩn kỹ thuật.</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b/>
          <w:bCs/>
          <w:sz w:val="28"/>
          <w:szCs w:val="28"/>
        </w:rPr>
        <w:t>Nội dung về xác định sản phẩm, hàng hóa có khả năng gây mất an toàn (sản phẩm, hàng hóa nhóm 2) và hoạt động kiểm tra chuyên ngành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Về xác định sản phẩm, hàng hóa nhóm 2: Hiện nay, việc xác định sản phẩm, hàng hóa nhóm 2 có vai trò quan trọng trong việc bảo vệ sức khỏe, sự an toàn cho người tiêu dùng, động vật, thực vật, tài sản, môi trường. Tuy nhiên, cách hiểu và xác định sản phẩm, hàng hóa nhóm 2 của các bộ quản lý ngành, lĩnh vực còn chưa được thống nhất.</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Cụ thể, có bộ quản lý ngành, lĩnh vực ban hành Danh mục sản phẩm, hàng hóa nhóm 2 nhưng chưa có QCVN để quản lý hoặc các bộ quản lý ngành, lĩnh vực ban hành Danh mục có tên nhóm hàng hóa nhưng chưa có đầy đủ chi tiết mặt hàng và mã số HS (HS Code) hoặc có bộ quản lý ngành, lĩnh vực ban hành Danh mục hàng hóa nhóm 2 bao trùm cả đối tượng hàng hóa phải kiểm dịch và kiểm tra an toàn thực phẩm. Điều này dẫn đến những vướng mắc đối với tổ chức, doanh nghiệp khi thực hiện các biện pháp quản lý chất lượng sản phẩm, hàng hóa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luật định.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lastRenderedPageBreak/>
        <w:t xml:space="preserve">Các bộ quản lý ngành, lĩnh vực ban hành Danh mục sản phẩm, hàng hóa nhóm 2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cách thức quản lý riêng dẫn đến khó khăn trong việc thực hiện. Một số bộ quản lý ngành, lĩnh vực không rõ cơ sở khoa học về khả năng gây mất </w:t>
      </w:r>
      <w:proofErr w:type="gramStart"/>
      <w:r w:rsidRPr="00AE1CF9">
        <w:rPr>
          <w:rFonts w:ascii="Times New Roman" w:hAnsi="Times New Roman" w:cs="Times New Roman"/>
          <w:sz w:val="28"/>
          <w:szCs w:val="28"/>
        </w:rPr>
        <w:t>an</w:t>
      </w:r>
      <w:proofErr w:type="gramEnd"/>
      <w:r w:rsidRPr="00AE1CF9">
        <w:rPr>
          <w:rFonts w:ascii="Times New Roman" w:hAnsi="Times New Roman" w:cs="Times New Roman"/>
          <w:sz w:val="28"/>
          <w:szCs w:val="28"/>
        </w:rPr>
        <w:t xml:space="preserve"> toàn của sản phẩm, hàng hóa khi đưa vào Danh mục sản phẩm, hàng hóa nhóm 2 hay việc sửa đổi, bổ sung Danh mục không kịp thời với nhu cầu cần quản lý.</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Trong thực tế triển khai cho thấy có những sản phẩm, hàng hóa giai đoạn này thuộc Danh mục sản phẩm, hàng hóa nhóm 2 và được quản lý theo quy chuẩn kỹ thuật, nhưng giai đoạn sau được đưa ra khỏi Danh mục, tức là đã chuyển thành hàng hóa nhóm 1 được quản lý chất lượng trên cơ sở tiêu chuẩn do người sản xuất công bố áp dụng.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Luật CLSPHH chưa quy định việc điều chỉnh đối với các loại sản phẩm, hàng hóa này. Luật CLSPHH phân chia hàng hóa thành 02 loại theo mức độ an toàn, trên thực tế độ an toàn và chất lượng sản phẩm là hai phạm trù không hoàn toàn giống nhau, có những sản phẩm, hàng hóa có độ an toàn cao nhưng có thể chưa đáp ứng đầy đủ các tiêu chí về chất lượng, ngược lại có những sản phẩm có chất lượng tốt nhưng mức độ an toàn chưa cao.</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Về hoạt động kiểm tra chất lượng sản phẩm, hàng hoá, công tác quản lý chất lượng sản phẩm hàng hóa được giao cho nhiều ngành, lĩnh vực quản lý, có những sản phẩm chịu sự quản lý của nhiều bộ, ngành, phải áp dụng nhiều biện pháp kiểm tra chuyên ngành dẫn đến còn có sự chồng chéo trong hoạt động kiểm tra, ví dụ: có những mặt hàng vừa phải kiểm tra hiệu suất năng lượng tối thiểu do Bộ Công Thương quản lý vừa phải kiểm tra chất lượng do bộ, ngành khác quản lý như quạt điện, tủ lạnh, tủ kết đông, bóng đèn huỳnh quang…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Việc triển khai thực hiện kiểm tra chất lượng sản phẩm, hàng hóa trong sản xuất còn có những khó khăn như: chưa xây dựng được đội </w:t>
      </w:r>
      <w:proofErr w:type="gramStart"/>
      <w:r w:rsidRPr="00AE1CF9">
        <w:rPr>
          <w:rFonts w:ascii="Times New Roman" w:hAnsi="Times New Roman" w:cs="Times New Roman"/>
          <w:sz w:val="28"/>
          <w:szCs w:val="28"/>
        </w:rPr>
        <w:t>ngũ</w:t>
      </w:r>
      <w:proofErr w:type="gramEnd"/>
      <w:r w:rsidRPr="00AE1CF9">
        <w:rPr>
          <w:rFonts w:ascii="Times New Roman" w:hAnsi="Times New Roman" w:cs="Times New Roman"/>
          <w:sz w:val="28"/>
          <w:szCs w:val="28"/>
        </w:rPr>
        <w:t xml:space="preserve"> kiểm soát viên chất lượng độc lập; năng lực của các tổ chức chứng nhận, thử nghiệm sản phẩm trong nước phục vụ quản lý nhà nước còn hạn chế.</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lastRenderedPageBreak/>
        <w:t xml:space="preserve">Việc kiểm tra chất lượng hàng hóa nhập khẩu của một số bộ, ngành còn chưa hoàn toàn theo các quy định của Luật CLSPHH là một trong những nguyên nhân dẫn đến kéo dài thời gian lưu trữ hàng hóa của doanh nghiệp ở cửa khẩu, gây khó khăn, tốn kém và mất cơ hội kinh doanh của doanh nghiệp. Ví dụ,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quy định của Luật CLSPHH, hoạt động kiểm tra nhà nước về chất lượng sản phẩm, hàng hóa và đánh giá sự phù hợp được phân định rõ ràng giữa khu vực quản lý nhà nước với khu vực sự nghiệp.</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Cơ quan kiểm tra chất lượng sản phẩm, hàng hoá ở Trung ương là các Tổng cục, Cục thực hiện chức năng quản lý nhà nước về chất lượng sản phẩm, hàng hoá hoặc cơ quan kiểm tra chất lượng ở địa phương là các sở, chi cục nhưng cho đến nay một số bộ quản lý ngành, lĩnh vực chưa chỉ định cơ quan kiểm tra ở địa phương, trong khi đó hàng hóa nhập khẩu vào nước ta qua rất nhiều đường khác nhau, nhiều địa phương khác nhau dẫn đến không kịp thời thực hiện hoạt động kiểm tra và kéo dài thời gian.</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Hiện nay, có nhiều bộ, ngành đã triển khai thủ tục kiểm tra chất lượng đối với hàng hóa nhập khẩu trên Cơ chế một cửa quốc gia. Tuy nhiên, vẫn còn một số bộ, ngành chưa triển khai đồng bộ, thống nhất toàn bộ các thủ tục kiểm tra chất lượng đối với các sản phẩm, hàng hóa thuộc lĩnh vực quản lý.</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Một số quy định của Luật CLSPHH chưa bao quát được hết các trường hợp phát sinh trong hoạt động kiểm tra, ví dụ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quy định tại Luật CLSPHH thì hàng hóa nhóm 2 phải công bố hợp quy, chứng nhận hợp quy. Để hoàn thành thủ tục kiểm tra chất lượng đối với hàng hóa, doanh nghiệp nhập khẩu phải thực hiện qua 02 bước: (1) Lấy mẫu để đánh giá sự phù hợp tại tổ chức đánh giá sự phù hợp được chỉ định; (2) Thực hiện thủ tục kiểm tra tại cơ quan kiểm tra nhà nước. Hàng hóa nhập khẩu phải được cấp Thông báo kết quả kiểm tra đáp ứng yêu cầu về chất lượng để được làm thủ tục nhập khẩu hàng hóa với cơ quan hải quan. Tuy nhiên, thực tế triển khai và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quy định tại Nghị định hướng dẫn (Nghị định số 74/2018/NĐ-CP) không thống nhất với quy định tại Luật CLSPHH.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lastRenderedPageBreak/>
        <w:t>Theo quy định của pháp luật về tiêu chuẩn và quy chuẩn kỹ thuật của Việt Nam, tiêu chuẩn là tự nguyện áp dụng, quy chuẩn kỹ thuật quốc gia là bắt buộc áp dụng. Về tiêu chuẩn, vì là tự nguyện nên có thể có nhiều loại tiêu chuẩn khác nhau, nhiều mức độ khác nhau để các doanh nghiệp lựa chọn hoặc đối tác lựa chọn để áp dụng cho phù hợp với mục đích của mình. Hiện nay, có một số quy chuẩn kỹ thuật về nông lâm thủy sản cao hơn cả yêu cầu tối thiểu của nước nhập khẩu mà chúng ta xuất khẩu chủ yếu như Nhật, Mỹ, Châu Âu. Như vậy, doanh nghiệp vừa phải đáp ứng yêu cầu của nước xuất khẩu, đối tác xuất khẩu và vừa phải đáp ứng yêu cầu của Việt Nam.</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Theo Luật CLSPHH thì sản phẩm, hàng hóa xuất khẩu chỉ cần đáp ứng yêu cầu của nước xuất khẩu. Tuy nhiên, theo Luật An toàn thực phẩm, thực phẩm xuất khẩu phải đáp ứng các điều kiện bảo đảm an toàn thực phẩm của Việt Nam và phù hợp với quy định về an toàn thực phẩm của nước nhập khẩu theo hợp đồng hoặc điều ước quốc tế, thỏa thuận quốc tế thừa nhận lẫn nhau về kết quả đánh giá sự phù hợp với quốc gia, vùng lãnh thổ có liên quan. Điều này đã dẫn đến sự mâu thuẫn và chồng chéo giữa các pháp luật về quản lý sản phẩm, hàng hóa.</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b/>
          <w:bCs/>
          <w:sz w:val="28"/>
          <w:szCs w:val="28"/>
        </w:rPr>
        <w:t>Nội dung về quản lý chất lượng sản phẩm, hàng hóa dựa trên ứng dụng mã số, mã vạch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Việc quy định quản lý nhà nước về mã số, mã vạch đã được quy định từ gần 20 năm trước theo Quyết định số 45/2002/QĐ-TTg ngày 27/3/2002 của Thủ tướng Chính phủ quy định nội dung quản lý nhà nước về mã số mã vạch và cơ quan quản lý nhà nước về mã số, mã vạch. Để triển khai thực hiện, Bộ Khoa học và Công nghệ đã ban hành các văn bản quy phạm pháp luật hướng dẫn (Quyết định số 15/2006/QĐ-BKHCN ngày 23/8/2006 và Thông tư số 16/2011/TT-BKHCN ngày 30/6/2011 của Bộ Khoa học và Công nghệ về sửa đổi, bổ sung một số điều của Quyết định số 15/2006/QĐ-BKHCN).</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lastRenderedPageBreak/>
        <w:t>Mã số, mã vạch là công cụ hữu hiệu được ứng dụng phổ biến trong quản lý và được sử dụng bởi tất cả các bên trong chuỗi cung ứng như nhà sản xuất, bán lẻ, dịch vụ vận chuyển, cơ quan quản lý, người tiêu dùng… Trong bối cảnh cách mạng công nghiệp lần thứ tư, mã số, mã vạch là tiện ích đóng vai trò to lớn trong việc giám sát, quản lý chất lượng sản phẩm, hàng hóa, giúp cho việc kết nối, thu thập, chia sẻ thông tin về sản phẩm, từ đó các bên tham gia trong chuỗi cung ứng có thể ứng dụng để truy xuất nguồn gốc, triệu hồi sản phẩm, quản lý sản xuất, bán hàng, kho bãi, giao nhận vận chuyển.</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Trong quản lý chất lượng sản phẩm, mã số, mã vạch là yếu tố cơ bản liên kết thông tin về điều kiện bảo đảm chất lượng sản phẩm (công bố hợp chuẩn, công bố hợp quy, chứng nhận hợp chuẩn, chứng nhận hợp quy của sản phẩm, hàng hóa); là công cụ phục vụ nhà sản xuất giám sát chất lượng sản phẩm, truy tìm, xác định nguồn gốc, nguyên nhân sự cố liên quan đến sản phẩm; người tiêu dùng tra cứu, tìm kiếm thông tin về chất lượng sản phẩm; tạo thuận lợi cho cơ quan nhà nước có thẩm quyền quản lý quá trình sản xuất và lưu thông sản phẩm.</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Mã số, mã vạch giúp thúc đẩy thương mại và hội nhập quốc tế thông qua việc: tạo thuận lợi cho doanh nghiệp tham gia thương mại điện tử toàn cầu; giúp truy xuất nguồn gốc sản phẩm thuận lợi, cung cấp dữ liệu sản phẩm cho đối tác thương mại; tích hợp với dữ liệu hải quan và cơ quan thuế nhằm tạo thuận lợi cho khai báo, thông quan, tính thuế; hỗ trợ kiểm soát luồng hàng xuất nhập khẩu.</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Hiện nay, các nước đang tăng cường kiểm tra nguồn gốc sản phẩm, hàng hóa thông qua việc ứng dụng mã số, mã vạch. Trong bối cảnh căng thẳng thương mại gia tăng giữa các quốc gia, gian lận xuất xứ đã ảnh hưởng lớn đến việc sản xuất của doanh nghiệp chân chính, uy tín của các sản phẩm và môi trường kinh doanh từng quốc gia. Để ngăn chặn gian lận xuất xứ từ việc biến một nước nào đó thành điểm trung chuyển hàng xuất khẩu giả sang nước thứ ba, một số nước đã áp dụng các biện pháp trấn áp hàng giả và gian lận xuất xứ để đảm bảo uy tín của sản phẩm, hàng hóa của quốc gia mình.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lastRenderedPageBreak/>
        <w:t>Cũng như nhiều quốc gia, ở Việt Nam, cơ quan hải quan và các cơ quan quản lý có thẩm quyền chủ động phát hiện, ngăn chặn, xử lý các hành vi gian lận, làm giả xuất xứ, dán nhãn hàng hóa, xâm phạm quyền sở hữu trí tuệ, trung chuyển hàng hóa trái phép. Việc xác minh sử dụng mã nước ngoài, tăng cường công tác thanh tra, kiểm tra đối với việc ghi nhãn hàng hóa lưu thông để kịp thời phát hiện các hành vi vi phạm tại Việt Nam sẽ giúp cho việc nâng cao năng lực cạnh tranh của sản phẩm Việt Nam trên thị trường quốc tế, đồng thời minh bạch hóa nguồn gốc của các sản phẩm trên thị trường, tăng uy tín đối với khách hàng.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Từ những lý do trên, ngày 15/5/2018, Chính phủ đã ban hành Nghị định số 74/2018/NĐ-CP sửa đổi, bổ sung một số điều của Nghị định số 132/2008/NĐ-CP quy định chi tiết một số điều Luật Chất lượng sản phẩm, hàng hóa, trong đó bổ sung quy định về quản lý mã số, mã vạch; ngày 21/01/2022, Chính phủ cũng ban hành Nghị định số 13/2022/NĐ-CP sửa đổi, bổ sung một số điều Nghị định số 132/2008/NĐ-CP ngày 31/12/ 2008, Nghị định số 74/2018/NĐ-CP ngày 15/5/2018 của Chính phủ quy định chi tiết thi hành một số điều Luật Chất lượng sản phẩm, hàng hóa và Nghị định số 86/2012/NĐ-CP ngày 19/10/2012 của Chính phủ quy định chi tiết và hướng dẫn thi hành một số điều Luật Đo lường, trong đó đã bổ sung quy định quản lý nhà nước về truy xuất nguồn gốc sản phẩm, hàng hóa.</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Trong bối cảnh hiện nay, vấn đề chuyển đổi số giúp mang lại giá trị gia tăng cho doanh nghiệp, giúp doanh nghiệp tạo ra giá trị mới nhờ việc cung cấp cho khách hàng những trải nghiệm mới; tạo điều kiện thuận lợi cho quá trình xuất khẩu sản phẩm, hàng hóa, nâng cao uy tín, thương hiệu trên thị trường trong và ngoài nước. Việc định danh, mã hóa và thu thập thông tin dạng máy đọc là tiền đề để có thể số hóa, trao đổi dữ liệu điện tử giữa các đơn vị trong chuỗi cung ứng và là nền tảng cho giải pháp truy xuất nguồn gốc điện tử. Do đó, để hoàn thiện hệ thống văn bản quy phạm pháp luật về ứng dụng mã số mã vạch trong quản lý chất </w:t>
      </w:r>
      <w:r w:rsidRPr="00AE1CF9">
        <w:rPr>
          <w:rFonts w:ascii="Times New Roman" w:hAnsi="Times New Roman" w:cs="Times New Roman"/>
          <w:sz w:val="28"/>
          <w:szCs w:val="28"/>
        </w:rPr>
        <w:lastRenderedPageBreak/>
        <w:t xml:space="preserve">lượng sản phẩm, hàng hóa, dịch vụ cần xem xét, </w:t>
      </w:r>
      <w:proofErr w:type="gramStart"/>
      <w:r w:rsidRPr="00AE1CF9">
        <w:rPr>
          <w:rFonts w:ascii="Times New Roman" w:hAnsi="Times New Roman" w:cs="Times New Roman"/>
          <w:sz w:val="28"/>
          <w:szCs w:val="28"/>
        </w:rPr>
        <w:t>bổ</w:t>
      </w:r>
      <w:proofErr w:type="gramEnd"/>
      <w:r w:rsidRPr="00AE1CF9">
        <w:rPr>
          <w:rFonts w:ascii="Times New Roman" w:hAnsi="Times New Roman" w:cs="Times New Roman"/>
          <w:sz w:val="28"/>
          <w:szCs w:val="28"/>
        </w:rPr>
        <w:t xml:space="preserve"> sung vào trong Luật CLSPHH là rất cần thiết.</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b/>
          <w:bCs/>
          <w:sz w:val="28"/>
          <w:szCs w:val="28"/>
        </w:rPr>
        <w:t>Nội dung về hoạt động đánh giá sự phù hợp</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Điều 70 Luật Chất lượng sản phẩm, hàng hóa và các văn bản hướng dẫn thi hành (Nghị định số 132/2008/NĐ-CP, Nghị định số 74/2018/NĐ-CP, Nghị định số 13/2022/NĐ-CP) cũng phân công trách nhiệm quản lý nhà nước về chất lượng sản phẩm, hàng hóa cho các bộ, ngành. Tuy nhiên, hiện nay vẫn có sự chồng chéo về quản lý nên một số tổ chức đánh giá sự phù hợp chịu sự quản lý của nhiều bộ quản lý ngành, lĩnh vực (ví dụ như tời điện, ra đa, bình chữa cháy, nồi hơi cùng chịu sự quản lý trong lĩnh vực giao thông vận tải và phương tiện thăm dò khai thác trên biển...).</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Theo quy định tại Điều 25 Luật CLSPHH, thử nghiệm, giám định phục vụ quản lý nhà nước do tổ chức thử nghiệm, giám định được chỉ định thực hiện, chứng nhận hợp quy do tổ chức chứng nhận được chỉ định thực hiện và việc kiểm định phải do tổ chức kiểm định được chỉ định thực hiện. Tuy nhiên, hiện nay chưa có cơ chế thừa nhận kết quả đánh giá chỉ định giữa các bộ quản lý ngành, lĩnh vực nên một tổ chức đánh giá sự phù hợp bị tiến hành đánh giá năng lực nhiều lần, gây tốn kém, lãng phí cho xã hội.</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Chưa quy định cách thức xử lý, xác định kết quả thử nghiệm trọng tài (thử nghiệm kiểm chứng) đối với trường hợp xảy ra tranh chấp, khiếu nại hoặc khi phát hiện có dấu hiệu sai về kết quả thử nghiệm do tổ chức thử nghiệm đã đăng ký hoặc được chỉ định thực hiện. Điều này, trong thực tế cũng đã xảy ra như thử nghiệm phân bón, mũ bảo hiểm, thiết bị điện và điện tử, xăng dầu, quặng...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Theo quy định thì yêu cầu đối với tổ chức chứng nhận, tổ chức thử nghiệm để được bộ quản lý ngành, lĩnh vực chỉ định phải là tổ chức chứng nhận, tổ chức thử nghiệm đã đăng ký lĩnh vực hoạt động. Tuy nhiên, hiện nay các bộ quản lý ngành, lĩnh vực vẫn còn lúng túng trong triển khai thực hiện.</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lastRenderedPageBreak/>
        <w:t>Bên cạnh đó, cần chỉnh sửa quy định về hoạt động công nhận cho phù hợp với thực tế như mở rộng đối tượng của hoạt động công nhận cho các chương trình công nhận cho tổ chức thử nghiệm thành thạo (PTP), tổ chức sản xuất chất chuẩn (RMP), tổ chức kiểm định hiệu ứng nhà kính, khí thải (GHG)...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Điểm c khoản 5 Điều 25 Luật CLSPHH đã quy định tổ chức đánh giá sự phù hợp phải đăng ký lĩnh vực hoạt động đánh giá sự phù hợp tại cơ quan quản lý nhà nước có thẩm quyền. Việc đăng ký hoạt động đánh giá sự phù hợp hiện nay được thực hiện theo quy định tại Nghị định số 107/2016/NĐ-CP, Nghị định số 154/2018/NĐ-CP. Tuy nhiên, quy định về đăng ký tại Luật CLSPHH và các văn bản hướng dẫn hiện nay chưa phù hợp cho việc chuyển đổi số và hội nhập quốc tế. Do đó, việc đăng ký hoạt động đánh giá sự phù hợp cần nghiên cứu, xem xét thay đổi cách thức quản lý để phù hợp với xu thế chuyển đổi số hiện nay và hội nhập quốc tế (đặc biệt là các cam kết tại CPTPP, EVFTA, RCEP).</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Điều 25 Luật CLSPHH quy định tổ chức đánh giá sự phù hợp “có tổ chức và năng lực đáp ứng yêu cầu </w:t>
      </w:r>
      <w:proofErr w:type="gramStart"/>
      <w:r w:rsidRPr="00AE1CF9">
        <w:rPr>
          <w:rFonts w:ascii="Times New Roman" w:hAnsi="Times New Roman" w:cs="Times New Roman"/>
          <w:sz w:val="28"/>
          <w:szCs w:val="28"/>
        </w:rPr>
        <w:t>chung</w:t>
      </w:r>
      <w:proofErr w:type="gramEnd"/>
      <w:r w:rsidRPr="00AE1CF9">
        <w:rPr>
          <w:rFonts w:ascii="Times New Roman" w:hAnsi="Times New Roman" w:cs="Times New Roman"/>
          <w:sz w:val="28"/>
          <w:szCs w:val="28"/>
        </w:rPr>
        <w:t xml:space="preserve"> đối với tổ chức đánh giá sự phù hợp quy định trong tiêu chuẩn quốc gia, tiêu chuẩn quốc tế tương ứng”. Tuy nhiên, Luật Tiêu chuẩn và Quy chuẩn kỹ thuật chỉ quy định về yêu cầu đối với tổ chức chứng nhận sự phù hợp tại Điều 50, chưa quy định rõ về yêu cầu đối với tổ chức đánh giá sự phù hợp (tổ chức thử nghiệm, tổ chức giám định, tổ chức kiểm định). Do đó, chưa có sự thống nhất giữa hai Luật này.</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Đối với các cơ sở đào tạo đánh giá sự phù hợp tại Việt Nam, mặc dù việc quản lý hoạt động đào tạo chuyên gia đánh giá chứng nhận sản phẩm (ISO/IEC 17065) và chuyên gia đánh giá chứng nhận hệ thống quản lý (ISO 9001, ISO 14001, ISO 22000, HACCP...) của tổ chức chứng nhận đã được Chính phủ giao cho Bộ Khoa học và Công nghệ tại Nghị định số 107/2016/NĐ-CP ngày 01/7/2016. Tuy nhiên, nội dung này chưa được quy định tại Luật, bên cạnh đó, hiện nay chưa có văn bản quy phạm pháp luật quy định quản lý và phân công trách nhiệm cho bộ quản lý ngành, lĩnh vực quản lý hoạt động đào tạo của cơ sở </w:t>
      </w:r>
      <w:r w:rsidRPr="00AE1CF9">
        <w:rPr>
          <w:rFonts w:ascii="Times New Roman" w:hAnsi="Times New Roman" w:cs="Times New Roman"/>
          <w:sz w:val="28"/>
          <w:szCs w:val="28"/>
        </w:rPr>
        <w:lastRenderedPageBreak/>
        <w:t xml:space="preserve">đào tạo ISO/IEC 17020 cho giám định viên, đào tạo ISO/IEC 17025 cho thử nghiệm viên nên các cơ quan quản lý thường chấp nhận các chứng chỉ đào tạo do tổ chức thử nghiệm, tổ chức giám định nộp kèm theo hồ sơ đăng ký. Do đó, để hình thành đội </w:t>
      </w:r>
      <w:proofErr w:type="gramStart"/>
      <w:r w:rsidRPr="00AE1CF9">
        <w:rPr>
          <w:rFonts w:ascii="Times New Roman" w:hAnsi="Times New Roman" w:cs="Times New Roman"/>
          <w:sz w:val="28"/>
          <w:szCs w:val="28"/>
        </w:rPr>
        <w:t>ngũ</w:t>
      </w:r>
      <w:proofErr w:type="gramEnd"/>
      <w:r w:rsidRPr="00AE1CF9">
        <w:rPr>
          <w:rFonts w:ascii="Times New Roman" w:hAnsi="Times New Roman" w:cs="Times New Roman"/>
          <w:sz w:val="28"/>
          <w:szCs w:val="28"/>
        </w:rPr>
        <w:t xml:space="preserve"> các chuyên gia đánh giá sự phù hợp của Việt Nam thì cần xem xét, quy định làm rõ nguyên tắc quản lý ngay từ Luật.</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b/>
          <w:bCs/>
          <w:sz w:val="28"/>
          <w:szCs w:val="28"/>
        </w:rPr>
        <w:t>Nội dung về kiểm soát viên chất lượng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Mặc dù ngạch kiểm soát viên chất lượng đã được quy định rất cụ thể trong Điều 50 Luật CLSPHH. Đồng thời, Bộ Nội vụ đã ban hành quy định chức danh, mã số ngạch và tiêu chuẩn nghiệp vụ các ngạch công chức chuyên ngành kiểm soát chất lượng tại Thông tư số 10/2009/TT-BNV ngày 21/10/2009.</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Tuy nhiên, cho đến nay việc triển khai ngạch công chức này rất là hạn chế. Cụ thể, chỉ có Bộ Khoa học và Công nghệ triển khai việc đào tạo và xây dựng đội </w:t>
      </w:r>
      <w:proofErr w:type="gramStart"/>
      <w:r w:rsidRPr="00AE1CF9">
        <w:rPr>
          <w:rFonts w:ascii="Times New Roman" w:hAnsi="Times New Roman" w:cs="Times New Roman"/>
          <w:sz w:val="28"/>
          <w:szCs w:val="28"/>
        </w:rPr>
        <w:t>ngũ</w:t>
      </w:r>
      <w:proofErr w:type="gramEnd"/>
      <w:r w:rsidRPr="00AE1CF9">
        <w:rPr>
          <w:rFonts w:ascii="Times New Roman" w:hAnsi="Times New Roman" w:cs="Times New Roman"/>
          <w:sz w:val="28"/>
          <w:szCs w:val="28"/>
        </w:rPr>
        <w:t xml:space="preserve"> kiểm soát viên chất lượng. Các bộ, ngành khác hầu như không xây dựng đội ngũ kiểm soát viên chất lượng; tại địa phương chỉ có Chi cục Tiêu chuẩn Đo lường Chất lượng thuộc Sở Khoa học và Công nghệ mới có ngạch này. Việc này dẫn đến sự không thống nhất về đội ngũ trong công tác kiểm soát chất lượng hàng hóa lưu thông trên thị trường, dẫn đến quyền hạn và nghĩa vụ không được thực hiện một cách đầy đủ, ảnh hưởng đến hiệu lực, hiệu quả của hoạt động kiểm tra nhà nước về chất lượng sản phẩm, hàng hóa và quyền lợi của người tiêu dùng.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Bên cạnh đó, việc bố trí vị trí việc làm, chuyển xếp lương còn nhiều vướng mắc hoặc chưa có hướng dẫn cụ thể, ví dụ theo quy định tại điểm a khoản 4 Điều 5; điểm a khoản 4 Điều 6 Thông tư số 10/2009/TT-BNV yêu cầu trình độ của công chức chuyên ngành kiểm soát viên chất lượng là “có bằng tốt nghiệp đại học trở lên thuộc các chuyên ngành phù hợp với việc kiểm tra chất lượng sản phẩm, hàng hóa” nhưng ở đây là không quy định rõ chuyên ngành phù hợp là ngành gì. Ngoài ra, các ngành có quy định riêng đối với công chức thực hiện công tác kiểm tra, thanh tra nên chưa quan tâm đến việc bổ nhiệm kiểm soát viên chất lượng.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lastRenderedPageBreak/>
        <w:t xml:space="preserve">Đội </w:t>
      </w:r>
      <w:proofErr w:type="gramStart"/>
      <w:r w:rsidRPr="00AE1CF9">
        <w:rPr>
          <w:rFonts w:ascii="Times New Roman" w:hAnsi="Times New Roman" w:cs="Times New Roman"/>
          <w:sz w:val="28"/>
          <w:szCs w:val="28"/>
        </w:rPr>
        <w:t>ngũ</w:t>
      </w:r>
      <w:proofErr w:type="gramEnd"/>
      <w:r w:rsidRPr="00AE1CF9">
        <w:rPr>
          <w:rFonts w:ascii="Times New Roman" w:hAnsi="Times New Roman" w:cs="Times New Roman"/>
          <w:sz w:val="28"/>
          <w:szCs w:val="28"/>
        </w:rPr>
        <w:t xml:space="preserve"> công chức kiểm soát viên chất lượng còn mỏng, hàng năm số lượng không được tăng thêm do chưa được đào tạo, cấp chứng chỉ để đủ điều kiện chuyển ngạch kiểm soát viên chất lượng. Đồng thời, đã có quy định về trang phục của kiểm soát viên chất lượng, tuy nhiên chưa có đơn vị thực hiện việc may mặc (như đối với trang phục thanh tra chuyên ngành); chưa có chế độ đặc thù đối với đội ngũ kiểm soát viên chất lượng và trong quá trình thực thi công vụ còn bị hạn chế về quyền hạn nhằm thực hiện có hiệu quả, kịp thời như không có quyền xử lý vi phạm hành chính. Ngoài ra, chưa có quy định về ngạch kiểm soát viên chất lượng chính, kiểm soát viên chất lượng cao cấp.</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Điều 48, Điều 50 Luật CLSPHH quy định về Đoàn kiểm tra và Kiểm soát viên chất lượng gây khó khăn cho công tác kiểm tra chất lượng sản phẩm, hàng hóa do quy định ít nhất 50% số thành viên tham gia Đoàn kiểm tra là kiểm soát viên chất lượng (được bổ nhiệm vào ngạch kiểm soát viên chất lượng).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Do việc kiểm tra chất lượng sản phẩm, hàng hóa là phức tạp và liên quan đến trách nhiệm bản thân kiểm soát viên chất lượng nên thực tế cho thấy có rất ít kiểm soát viên thực hiện độc lập việc kiểm tra chất lượng sản phẩm, hàng hóa. Kiểm soát viên chất lượng hoạt động hiệu quả khi ở đơn vị độc lập như Chi cục Tiêu chuẩn Đo lường Chất lượng. Tuy nhiên, hiện nay nhiều tỉnh, thành phố đã không còn tồn tại Chi cục Tiêu chuẩn Đo lường Chất lượng.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b/>
          <w:bCs/>
          <w:sz w:val="28"/>
          <w:szCs w:val="28"/>
        </w:rPr>
        <w:t>Về thực hiện các cam kết trong Hiệp định CPTPP, EVFTA, RCEP</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Các điều luật thi hành các nghĩa vụ chủ yếu của Hiệp định CPTPP, EVFTA, RCEP... cần được rà soát, xem xét với các quy định tại Luật CLSPHH trong lĩnh vực quản lý chất lượng và đánh giá sự phù hợp để từ đó nghiên cứu sửa đổi, bổ sung trong Luật này cho phù hợp. Ví dụ:</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Về thuật ngữ “Thỏa thuận thừa nhận lẫn nhau” trong Hiệp định CPTPP là các thỏa thuận quốc tế hoặc khu vực (bao gồm cả thỏa thuận thừa nhận đa phương) giữa các tổ chức công nhận thừa nhận tính tương đương của các hệ thống </w:t>
      </w:r>
      <w:r w:rsidRPr="00AE1CF9">
        <w:rPr>
          <w:rFonts w:ascii="Times New Roman" w:hAnsi="Times New Roman" w:cs="Times New Roman"/>
          <w:sz w:val="28"/>
          <w:szCs w:val="28"/>
        </w:rPr>
        <w:lastRenderedPageBreak/>
        <w:t>công nhận (dựa trên cơ sở xem xét tương đương) hoặc giữa các tổ chức đánh giá sự phù hợp thực hiện thừa nhận kết quả đánh giá sự phù hợp. Trong khi đó, Luật CLSPHH, Thông tư số 27/2007/TT-BKHCN ngày 31/10/2007 hiện nay chỉ đề cập đến thừa nhận kết quả đánh giá sự phù hợp của tổ chức đánh giá sự phù hợp, nhưng chưa đề cập rõ đến thừa nhận giữa các tổ chức công nhận.</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Về thuật ngữ “Kiểm tra” trong Hiệp định CPTPP là hoạt động khẳng định tính chính xác của mỗi kết quả đánh giá sự phù hợp, chẳng hạn yêu cầu thông tin từ tổ chức đánh giá sự phù hợp hoặc tổ chức công nhận, phê duyệt, cấp phép hoặc thừa nhận tổ chức đánh giá sự phù hợp, nhưng không bao gồm các quy định bắt buộc một sản phẩm được đánh giá sự phù hợp trên lãnh thổ của Bên nhập khẩu phải thực hiện lại việc đánh giá sự phù hợp đã làm đối với sản phẩm tại lãnh thổ của Bên xuất khẩu hoặc bên thứ ba, ngoại trừ vì mục đích theo dõi giám sát ngẫu nhiên hoặc đột xuất hoặc cần trả lời thông tin về sự không phù hợp của sản phẩm. Trong khi đó, hiện nay tại Luật CLSPHH chưa có quy định cụ thể về nội dung này.</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Trong Hiệp định CPTPP, EVFTA, RCEP quy định không được yêu cầu tổ chức đánh giá sự phù hợp tiến hành thử nghiệm hoặc chứng nhận sản phẩm, hoặc tổ chức đánh giá sự phù hợp tiến hành kiểm định phải đặt tại lãnh thổ của mình; Không được đưa ra yêu cầu bắt buộc các tổ chức đánh giá sự phù hợp nằm ngoài lãnh thổ phải mở văn phòng hoạt động trên lãnh thổ của Bên đó; Phải cho phép các tổ chức đánh giá sự phù hợp trong các lãnh thổ của các Bên khác nộp hồ sơ để xác nhận rằng họ đã tuân thủ theo các quy trình, tiêu chí và những điều kiện khác mà Bên đó yêu cầu để chấp nhận năng lực của các tổ chức này hoặc để cho phép họ tiến hành thử nghiệm hoặc chứng nhận sản phẩm hoặc tiến hành kiểm định.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Tuy nhiên, hiện nay tại Luật Tiêu chuẩn và Quy chuẩn kỹ thuật quy định tổ chức chứng nhận nước ngoài phải thành lập Chi nhánh tại Việt Nam và thực hiện đăng ký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quy định tại Luật CLSPHH. Việc đăng ký hoạt động đánh giá </w:t>
      </w:r>
      <w:r w:rsidRPr="00AE1CF9">
        <w:rPr>
          <w:rFonts w:ascii="Times New Roman" w:hAnsi="Times New Roman" w:cs="Times New Roman"/>
          <w:sz w:val="28"/>
          <w:szCs w:val="28"/>
        </w:rPr>
        <w:lastRenderedPageBreak/>
        <w:t xml:space="preserve">sự phù hợp thực hiện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quy định tại Nghị định số 107/2016/NĐ-CP, Nghị định số 154/2018/NĐ-CP.</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Do đó, để nhằm thi hành các cam kết về loại bỏ rào cản kỹ thuật đối với thương mại trong các Hiệp định thương mại tự do mà Việt Nam đã ký kết, tham gia và đang đàm phán, như Hiệp định CPTPP, EVFTA, RCEP…. việc rà soát các nội dung quy định tại Luật CLSPHH để sửa đổi, bổ sung cho phù hợp là rất cần thiết, đáp ứng nhu cầu phát triển kinh tế - xã hội và hội nhập quốc tế, đồng thời giải quyết được các khó khăn, vướng mắc trong quá trình triển khai Luật trong hơn 14 năm vừa qua, đáp ứng yêu cầu chỉ đạo của Quốc hội, Chính phủ.</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b/>
          <w:bCs/>
          <w:sz w:val="28"/>
          <w:szCs w:val="28"/>
        </w:rPr>
        <w:t>Nội dung về Hạ tầng chất lượng quốc gia (NQI)</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Theo thông lệ quốc tế, Hạ tầng chất lượng quốc gia (National Quality Infrastructure, NQI) là hệ thống cơ chế pháp lý và kỹ thuật để triển khai hoạt động tiêu chuẩn, đo lường, đánh giá sự phù hợp (bao gồm cả công nhận) ở từng quốc gia nhằm đáp ứng yêu cầu phát triển kinh tế xã hội trong nước.</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Trên phạm </w:t>
      </w:r>
      <w:proofErr w:type="gramStart"/>
      <w:r w:rsidRPr="00AE1CF9">
        <w:rPr>
          <w:rFonts w:ascii="Times New Roman" w:hAnsi="Times New Roman" w:cs="Times New Roman"/>
          <w:sz w:val="28"/>
          <w:szCs w:val="28"/>
        </w:rPr>
        <w:t>vi</w:t>
      </w:r>
      <w:proofErr w:type="gramEnd"/>
      <w:r w:rsidRPr="00AE1CF9">
        <w:rPr>
          <w:rFonts w:ascii="Times New Roman" w:hAnsi="Times New Roman" w:cs="Times New Roman"/>
          <w:sz w:val="28"/>
          <w:szCs w:val="28"/>
        </w:rPr>
        <w:t xml:space="preserve"> toàn cầu, NQI của các quốc gia được đánh giá và biểu diễn bằng Chỉ số Hạ tầng chất lượng toàn cầu (Global Quality Infrastructure Index, GQII). GQII đo lường mức độ phát triển NQI ở các quốc gia phát triển và các quốc gia đang phát triển. Trên thế giới, Hạ tầng chất lượng (Quality Infrastructure, QI) là động lực thúc đẩy sự thịnh vượng kinh tế và tạo cơ sở vững chắc cho tăng trưởng bền vững và cân bằng, phát triển bền vững.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Tại Việt Nam, Hạ tầng chất lượng quốc gia (NQI) cũng đã được hình thành trên nền tảng quy định tại Luật Tiêu chuẩn và Quy chuẩn kỹ thuật, Luật CLSPHH và Luật Đo lường. Tuy nhiên, khái niệm Hạ tầng chất lượng quốc gia, các nguyên tắc, biện pháp để tổ chức thực hiện nhằm thúc đẩy sự phát triển, nâng cao Chỉ số Hạ tầng chất lượng quốc gia của Việt Nam trong đánh giá, xếp hạng Chỉ số Hạ tầng chất lượng toàn cầu (Global Quality Infrastructure Index, GQII) chưa được quy định rõ. Việc tăng cường năng lực Hạ tầng chất lượng quốc gia là yêu cầu, </w:t>
      </w:r>
      <w:r w:rsidRPr="00AE1CF9">
        <w:rPr>
          <w:rFonts w:ascii="Times New Roman" w:hAnsi="Times New Roman" w:cs="Times New Roman"/>
          <w:sz w:val="28"/>
          <w:szCs w:val="28"/>
        </w:rPr>
        <w:lastRenderedPageBreak/>
        <w:t>giải pháp quan trọng nhằm hỗ trợ các doanh nghiệp nâng cao năng lực cạnh tranh, hội nhập quốc tế.</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b/>
          <w:bCs/>
          <w:sz w:val="28"/>
          <w:szCs w:val="28"/>
        </w:rPr>
        <w:t>Một số nội dung khác</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Về Giải thưởng Chất lượng quốc gia, tại Việt Nam, Giải thưởng Chất lượng quốc gia (GTCLQG) được xem như một sự thừa nhận về chất lượng ở cấp quốc gia, khu vực và thế giới. Việc hình thành Giải thưởng chất lượng dựa trên các mô hình quản lý chất lượng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tiêu chuẩn tiên tiến trên thế giới, hoặc các triết lý về quản trị chất lượng của các nhà quản trị chất lượng nổi tiếng thế giới.</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Giải thưởng hiện nay được trao cho tổ chức, doanh nghiệp với mục tiêu là hướng vào việc cải tiến chất lượng quản lý và tổ chức hoạt động sản xuất, kinh doanh và dịch vụ của các doanh nghiệp nhằm hệ thống hoá và cơ cấu hoá hệ thống quản lý để từ đó nâng cao khả năng cạnh tranh và năng suất chất lượng. Sự thừa nhận rộng rãi mà GTCLQG mang lại cho các tổ chức, doanh nghiệp đạt giải chính là “giá trị gia tăng” mà các tổ chức, doanh nghiệp đó có được để tiếp tục cải tiến hoạt động của mình.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Tại các nước có nền công nghiệp phát triển, giải thưởng chất lượng còn là một công cụ, biện pháp chính để các doanh nghiệp hoàn thiện mô hình hoạt động của mình. GTCLQG của Việt Nam cũng phải định hướng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mục tiêu này. Các doanh nghiệp được đề cử tham gia GTCLQG là những doanh nghiệp tiêu biểu của địa phương, tham gia và đóng góp tích cực cho hoạt động năng suất - chất lượng tại địa phương và cả nước, áp dụng thành công các công cụ, mô hình và hệ thống quản lý tiên tiến.</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Không chỉ đem lại lợi ích cho các doanh nghiệp đoạt giải, GTCLQG còn là động lực để doanh nghiệp chưa đoạt giải phấn đấu, tự hoàn thiện mình. Qua đó, nâng cao hơn nữa năng lực của hệ thống doanh nghiệp Việt Nam trong bối cảnh mới.</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lastRenderedPageBreak/>
        <w:t>Tuy nhiên, hiện nay hoạt động GTCLQG chưa thực sự lan tỏa trong cộng đồng doanh nghiệp, chưa khuyến khích được sự quan tâm tham gia của các doanh nghiệp và đời sống xã hội, chưa tương xứng với tiềm năng vốn có của một giải thưởng về chất lượng mang tầm quốc gia. Đặc biệt, trong đó phải kể đến các hạn chế về: Hoạt động truyền thông chưa được đẩy mạnh; những chia sẻ kinh nghiệm, giá trị từ doanh nghiệp đã đạt giải cho cộng đồng doanh nghiệp, người tiêu dùng còn chưa cao; các chính sách hỗ trợ mang tính cụ thể, thiết thực đối với doanh nghiệp trước, trong và sau khi đạt giải còn thiếu...</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Bên cạnh đó, phạm </w:t>
      </w:r>
      <w:proofErr w:type="gramStart"/>
      <w:r w:rsidRPr="00AE1CF9">
        <w:rPr>
          <w:rFonts w:ascii="Times New Roman" w:hAnsi="Times New Roman" w:cs="Times New Roman"/>
          <w:sz w:val="28"/>
          <w:szCs w:val="28"/>
        </w:rPr>
        <w:t>vi</w:t>
      </w:r>
      <w:proofErr w:type="gramEnd"/>
      <w:r w:rsidRPr="00AE1CF9">
        <w:rPr>
          <w:rFonts w:ascii="Times New Roman" w:hAnsi="Times New Roman" w:cs="Times New Roman"/>
          <w:sz w:val="28"/>
          <w:szCs w:val="28"/>
        </w:rPr>
        <w:t xml:space="preserve"> xét tặng GTCLQG hiện nay mới chỉ tập trung vào doanh nghiệp là chủ yếu mà chưa mở rộng đối tượng là cá nhân và loại hình tổ chức khác (ví dụ tổ chức đánh giá sự phù hợp, cơ sở đào tạo). Do đó, các nội dung này cần được chỉnh sửa cụ thể tại Luật CLSPHH để tạo thuận lợi và thống nhất triển khai thực hiện. Đồng thời, hoạt động tuyên truyền, nâng cao nhận thức cho xã hội và cộng đồng doanh nghiệp về các giá trị của Giải thưởng cần tiếp tục được đẩy mạnh.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Về việc phân công, phân cấp trách nhiệm quản lý nhà nước về chất lượng sản phẩm, hàng hóa cho các bộ quản lý ngành, lĩnh vực và địa phương: việc phân công trách nhiệm quản lý giữa các bộ quản lý ngành, lĩnh vực: Nghị định số 132/2008/NĐ-CP và Nghị định số 74/2018/NĐ-CP đã phân định rõ ràng về trách nhiệm quản lý sản phẩm, hàng hóa. Tuy nhiên, để thống nhất triển khai giữa Luật CLSPHH, Luật Tiêu chuẩn và Quy chuẩn kỹ thuật và các luật quản lý chuyên ngành thì cần quy định cụ thể nội dung này tại Luật CLSPHH.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Đồng thời, Nghị định số 127/2007/NĐ-CP và Nghị định số 78/2018/NĐ-CP đã phân công lĩnh vực của các bộ quản lý ngành, lĩnh vực thực hiện việc xây dựng, ban hành quy chuẩn kỹ thuật quốc gia. Tuy nhiên, việc phân công tại Nghị định số 127/2007/NĐ-CP chưa thống nhất với việc phân công trách nhiệm quản lý chất lượng của các bộ quản lý ngành, lĩnh vực tại Nghị định số 132/2008/NĐ-CP và Nghị định số 74/2018/NĐ-CP nên có những sản phẩm, hàng hóa thuộc lĩnh </w:t>
      </w:r>
      <w:r w:rsidRPr="00AE1CF9">
        <w:rPr>
          <w:rFonts w:ascii="Times New Roman" w:hAnsi="Times New Roman" w:cs="Times New Roman"/>
          <w:sz w:val="28"/>
          <w:szCs w:val="28"/>
        </w:rPr>
        <w:lastRenderedPageBreak/>
        <w:t>vực xây dựng, ban hành quy chuẩn kỹ thuật quốc gia (QCVN) để quản lý nhưng lại không được phân công trách nhiệm quản lý chất lượng hoặc được phân công trách nhiệm quản lý chất lượng nhưng không thuộc lĩnh vực xây dựng, ban hành QCVN nên các bộ quản lý ngành, lĩnh vực còn lúng túng trong quá trình thực hiện, việc triển khai còn khó khăn, chưa thống nhất.</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Về công tác thi hành Luật CLSPHH tại bộ, ngành và địa phương, việc tổ chức triển khai các Chương trình, dự án về năng suất, chất lượng còn chưa có sự tham gia đồng đều của các bộ quản lý ngành, lĩnh vực và một số địa phương. Mặt khác, trong quá trình triển khai thực hiện, còn thiếu sự phối hợp, lồng ghép các nhiệm vụ với các chương trình, dự án phát triển kinh tế - xã hội của ngành, địa phương có cùng mục tiêu là nâng cao năng suất, chất lượng đối với các sản phẩm, hàng hóa chủ lực của ngành, địa phương. Điều đó đã hạn chế hiệu quả của hoạt động hỗ trợ doanh nghiệp nâng cao năng suất chất lượng do chưa tập trung được nguồn lực vào các đối tượng sản phẩm, doanh nghiệp cần hỗ trợ, </w:t>
      </w:r>
      <w:proofErr w:type="gramStart"/>
      <w:r w:rsidRPr="00AE1CF9">
        <w:rPr>
          <w:rFonts w:ascii="Times New Roman" w:hAnsi="Times New Roman" w:cs="Times New Roman"/>
          <w:sz w:val="28"/>
          <w:szCs w:val="28"/>
        </w:rPr>
        <w:t>cũng</w:t>
      </w:r>
      <w:proofErr w:type="gramEnd"/>
      <w:r w:rsidRPr="00AE1CF9">
        <w:rPr>
          <w:rFonts w:ascii="Times New Roman" w:hAnsi="Times New Roman" w:cs="Times New Roman"/>
          <w:sz w:val="28"/>
          <w:szCs w:val="28"/>
        </w:rPr>
        <w:t xml:space="preserve"> như hiệu quả tác dụng đồng bộ của các giải pháp.</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Nguồn lực cho hoạt động quản lý chất lượng, chủ yếu là kinh phí từ ngân sách nhà nước và rất hạn hẹp (chủ yếu nguồn kinh phí sự nghiệp khoa học), kinh phí đối ứng của các tổ chức, doanh nghiệp rất hạn chế. Lĩnh vực thực thi quản lý nhà nước về chất lượng vẫn chưa toàn diện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chức năng, nhiệm vụ được giao. Một số sản phẩm, hàng hóa sản xuất, kinh doanh vẫn chưa được quản lý; công tác phối hợp, theo dõi và nắm thông tin về tiêu chuẩn, chất lượng sản phẩm, hàng hóa của một số cơ quan có liên quan vẫn chưa được thực hiện chặt chẽ. Nội dung và phương thức tổ chức công tác kiểm tra vẫn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lối mòn chưa cải tiến, đổi mới để bảo đảm vừa đạt kết quả về số lượng cơ sở được kiểm tra vừa quản lý toàn diện, sâu sát thực trạng sản xuất, kinh doanh.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Một số văn bản quy phạm pháp luật có các quy định không thống nhất dẫn đến việc khó khăn khi áp dụng, cụ thể: Khái niệm “Thủ tục nhập khẩu khi thông quan” theo quy định của Luật Hải quan và “Thủ tục kiểm tra chất lượng hàng hóa </w:t>
      </w:r>
      <w:r w:rsidRPr="00AE1CF9">
        <w:rPr>
          <w:rFonts w:ascii="Times New Roman" w:hAnsi="Times New Roman" w:cs="Times New Roman"/>
          <w:sz w:val="28"/>
          <w:szCs w:val="28"/>
        </w:rPr>
        <w:lastRenderedPageBreak/>
        <w:t>nhập khẩu” theo quy định của Luật CLSPHH chưa được hiểu thống nhất dẫn đến có nhầm lẫn giữa hai khái niệm này.</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Về thủ tục công bố hợp quy, tại Điều 48 Luật Tiêu chuẩn và Quy chuẩn kỹ thuật quy định 02 biện pháp công bố hợp quy: (1) Dựa trên kết quả chứng nhận hợp quy do tổ chức chứng nhận sự phù hợp được chỉ định; (2) hoặc Dựa trên kết quả tự đánh giá của tổ chức, cá nhân trên cơ sở kết quả thử nghiệm của phòng thử nghiệm được công nhận hoặc chỉ định.</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Tại khoản 2 Điều 34 Luật CLSPHH quy định hàng hóa nhóm 2 nhập khẩu phải được công bố hợp quy, chứng nhận hợp quy bởi tổ chức chứng nhận được chỉ định hoặc được thừa nhận. Tại khoản 2 Điều 7 Nghị định số 132/2008/NĐ-CP ngày 31/12/2008 quy định chi tiết thi hành một số điều của Luật CLSPHH (được sửa đổi, bổ sung tại Nghị định số 74/2018/NĐ-CP ngày 15/5/2018), việc công bố hợp quy được thực hiện dựa trên một trong 03 biện pháp: (1) Kết quả tự đánh giá sự phù hợp của tổ chức, cá nhân; (2) Kết quả chứng nhận, giám định của tổ chức chứng nhận, tổ chức giám định đã đăng ký hoặc được thừa nhận theo quy định pháp luật; (3) Kết quả chứng nhận, giám định của tổ chức chứng nhận, tổ chức giám định được chỉ định theo quy định của pháp luật. Do đó, các biện pháp công bố hợp quy cần xem xét, chỉnh sửa cho phù hợp.</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Về quy định liên quan đến phí, lệ phí tại Luật CLSPHH tại Điều 19, Điều 37, Điều 44: Thực hiện Luật CLSPHH, trên cơ sở đề xuất của Bộ KH&amp;CN, Bộ Tài chính đã ban hành Thông tư số 231/2009/TT-BTC ngày 9/12/2009 quy định chế độ thu, nộp và quản lý sử dụng lệ phí trong lĩnh vực tiêu chuẩn đo lường chất lượng, thay thế Thông tư số 83/2002/TT-BTC ngày 25/9/2002. Trong đó: (i) Bãi bỏ các khoản phí liên quan đến đánh giá sự phù hợp; (ii) Quy định lệ phí cấp giấy thông báo kết quả kiểm tra về chất lượng hàng hoá nhập khẩu là 150.000 đồng/giấy.</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lastRenderedPageBreak/>
        <w:t xml:space="preserve">Ngày 25/11/2015, Quốc hội thông qua Luật Phí và lệ phí, có hiệu lực thi hành kể từ ngày 1/1/2017. Trên cơ sở ý kiến của Bộ KH&amp;CN, tại Danh mục phí lệ phí ban hành kèm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Luật Phí và lệ phí không quy định lệ phí kiểm tra chất lượng hàng hoá nhập khẩu. Thực hiện Luật Phí và lệ phí, Bộ Tài chính đã bãi bỏ quy định thu lệ phí cấp giấy Thông báo kết quả kiểm tra về chất lượng hàng hoá nhập khẩu quy định tại Thông tư 231/2009/TT-BTC. Vì vậy, cần nghiên cứu bỏ quy định về lệ phí tại Điều 37 và Điều 44 Luật Chất lượng sản phẩm, hàng hoá để thống nhất với Luật Phí và lệ phí.</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Về xử lý vi phạm hành chính, hiện nay, Luật Xử lý vi phạm hành chính sửa đổi năm 2020 có hiệu lực từ 01/01/2022 đã được sửa đổi nhiều điều khoản, do đó Luật CLSPHH cần thống nhất lại các điều khoản tránh chồng chéo nhau, đặc biệt về thời hạn xử lý.</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Công tác thanh tra, kiểm tra chất lượng sản phẩm, hàng hóa có sự chồng chéo về chức năng, nhiệm vụ giữa các đơn vị. Cụ thể: </w:t>
      </w:r>
      <w:proofErr w:type="gramStart"/>
      <w:r w:rsidRPr="00AE1CF9">
        <w:rPr>
          <w:rFonts w:ascii="Times New Roman" w:hAnsi="Times New Roman" w:cs="Times New Roman"/>
          <w:sz w:val="28"/>
          <w:szCs w:val="28"/>
        </w:rPr>
        <w:t>theo</w:t>
      </w:r>
      <w:proofErr w:type="gramEnd"/>
      <w:r w:rsidRPr="00AE1CF9">
        <w:rPr>
          <w:rFonts w:ascii="Times New Roman" w:hAnsi="Times New Roman" w:cs="Times New Roman"/>
          <w:sz w:val="28"/>
          <w:szCs w:val="28"/>
        </w:rPr>
        <w:t xml:space="preserve"> khoản 2 Điều 70 Luật CLSPHH quy định rõ trách nhiệm quản lý nhà nước về chất lượng sản phẩm, hàng hoá lưu thông trên thị trường do các bộ chuyên ngành quản lý.</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Tuy nhiên, theo Pháp lệnh Quản lý thị trường, tại Điều 7 lại quy định “Lực lượng Quản lý thị trường là lực lượng chuyên trách của Nhà nước thực hiện chức năng phòng, chống, xử lý các hành vi kinh doanh hàng hóa nhập lậu; sản xuất, buôn bán hàng giả, hàng cấm, hàng hóa không rõ nguồn gốc xuất xứ; hành vi xâm phạm quyền sở hữu trí tuệ; hành vi vi phạm pháp luật về chất lượng,…”.</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Về quản lý chất lượng hàng hóa trong hoạt động kinh doanh thương mại điện tử, việc kinh doanh thương mại điện tử đang phát triển rầm rộ và chiếm tỷ trọng lớn trong việc kinh doanh buôn bán hàng hóa nói </w:t>
      </w:r>
      <w:proofErr w:type="gramStart"/>
      <w:r w:rsidRPr="00AE1CF9">
        <w:rPr>
          <w:rFonts w:ascii="Times New Roman" w:hAnsi="Times New Roman" w:cs="Times New Roman"/>
          <w:sz w:val="28"/>
          <w:szCs w:val="28"/>
        </w:rPr>
        <w:t>chung</w:t>
      </w:r>
      <w:proofErr w:type="gramEnd"/>
      <w:r w:rsidRPr="00AE1CF9">
        <w:rPr>
          <w:rFonts w:ascii="Times New Roman" w:hAnsi="Times New Roman" w:cs="Times New Roman"/>
          <w:sz w:val="28"/>
          <w:szCs w:val="28"/>
        </w:rPr>
        <w:t xml:space="preserve">. Việc bán hàng qua mạng lại không cần phải có kho chứa trữ hàng hóa, nguồn hàng có thể được lấy từ nhiều nơi khác nhau, gây khó khăn cho công tác kiểm tra, kiểm soát, giám sát đối tượng. Hiện nay, việc quản lý hoạt động thương mại điện tử được thực hiện </w:t>
      </w:r>
      <w:proofErr w:type="gramStart"/>
      <w:r w:rsidRPr="00AE1CF9">
        <w:rPr>
          <w:rFonts w:ascii="Times New Roman" w:hAnsi="Times New Roman" w:cs="Times New Roman"/>
          <w:sz w:val="28"/>
          <w:szCs w:val="28"/>
        </w:rPr>
        <w:lastRenderedPageBreak/>
        <w:t>theo</w:t>
      </w:r>
      <w:proofErr w:type="gramEnd"/>
      <w:r w:rsidRPr="00AE1CF9">
        <w:rPr>
          <w:rFonts w:ascii="Times New Roman" w:hAnsi="Times New Roman" w:cs="Times New Roman"/>
          <w:sz w:val="28"/>
          <w:szCs w:val="28"/>
        </w:rPr>
        <w:t xml:space="preserve"> quy định tại pháp luật về thương mại điện tử (Luật Giao dịch thương mại điện tử và các văn bản hướng dẫn).</w:t>
      </w:r>
    </w:p>
    <w:p w:rsidR="00AE1CF9" w:rsidRPr="00AE1CF9" w:rsidRDefault="00AE1CF9" w:rsidP="00AE1CF9">
      <w:pPr>
        <w:spacing w:line="360" w:lineRule="auto"/>
        <w:ind w:firstLine="720"/>
        <w:jc w:val="both"/>
        <w:rPr>
          <w:rFonts w:ascii="Times New Roman" w:hAnsi="Times New Roman" w:cs="Times New Roman"/>
          <w:sz w:val="28"/>
          <w:szCs w:val="28"/>
        </w:rPr>
      </w:pPr>
      <w:r w:rsidRPr="00AE1CF9">
        <w:rPr>
          <w:rFonts w:ascii="Times New Roman" w:hAnsi="Times New Roman" w:cs="Times New Roman"/>
          <w:sz w:val="28"/>
          <w:szCs w:val="28"/>
        </w:rPr>
        <w:t xml:space="preserve">Tuy nhiên, tại Luật và các văn bản hướng dẫn Luật này chưa quy định về nội dung quản lý chất lượng hàng hóa hoạt động kinh doanh thương mại điện tử. Do đó để thực hiện các yêu cầu thực tiễn cũng như để bảo đảm quyền lợi người tiêu dùng và tạo thuận lợi cho các doanh nghiệp kinh doanh chân chính, giúp cơ quan nhà nước quản lý chặt chẽ, thống nhất, tăng cường công tác kiểm tra, kiểm soát hàng nhập lậu, hàng giả hàng nhái, hàng kém chất lượng lưu thông trên thị trường cần nghiên cứu, bổ sung quy định này trong Luật CLSPHH. Do vậy, việc xem xét sửa đổi, </w:t>
      </w:r>
      <w:proofErr w:type="gramStart"/>
      <w:r w:rsidRPr="00AE1CF9">
        <w:rPr>
          <w:rFonts w:ascii="Times New Roman" w:hAnsi="Times New Roman" w:cs="Times New Roman"/>
          <w:sz w:val="28"/>
          <w:szCs w:val="28"/>
        </w:rPr>
        <w:t>bổ</w:t>
      </w:r>
      <w:proofErr w:type="gramEnd"/>
      <w:r w:rsidRPr="00AE1CF9">
        <w:rPr>
          <w:rFonts w:ascii="Times New Roman" w:hAnsi="Times New Roman" w:cs="Times New Roman"/>
          <w:sz w:val="28"/>
          <w:szCs w:val="28"/>
        </w:rPr>
        <w:t xml:space="preserve"> sung Luật CLSPHH là rất cần thiết.</w:t>
      </w:r>
    </w:p>
    <w:p w:rsidR="00174B28" w:rsidRPr="00174B28" w:rsidRDefault="00174B28" w:rsidP="00174B28">
      <w:pPr>
        <w:spacing w:line="360" w:lineRule="auto"/>
        <w:ind w:firstLine="720"/>
        <w:jc w:val="both"/>
        <w:rPr>
          <w:rFonts w:ascii="Times New Roman" w:hAnsi="Times New Roman" w:cs="Times New Roman"/>
          <w:sz w:val="28"/>
          <w:szCs w:val="28"/>
        </w:rPr>
      </w:pPr>
    </w:p>
    <w:p w:rsidR="00A5694E" w:rsidRPr="00A5694E" w:rsidRDefault="00A5694E" w:rsidP="00800921">
      <w:pPr>
        <w:spacing w:line="360" w:lineRule="auto"/>
        <w:ind w:firstLine="720"/>
        <w:jc w:val="both"/>
        <w:rPr>
          <w:rFonts w:ascii="Times New Roman" w:hAnsi="Times New Roman" w:cs="Times New Roman"/>
          <w:sz w:val="28"/>
          <w:szCs w:val="28"/>
        </w:rPr>
      </w:pPr>
    </w:p>
    <w:p w:rsidR="00141DCD" w:rsidRPr="00CF426F" w:rsidRDefault="00141DCD" w:rsidP="00AB6D2A">
      <w:pPr>
        <w:spacing w:line="360" w:lineRule="auto"/>
        <w:ind w:firstLine="720"/>
        <w:jc w:val="both"/>
        <w:rPr>
          <w:rFonts w:ascii="Times New Roman" w:hAnsi="Times New Roman" w:cs="Times New Roman"/>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AE1CF9" w:rsidRPr="00AE1CF9">
        <w:rPr>
          <w:rFonts w:ascii="Times New Roman" w:hAnsi="Times New Roman" w:cs="Times New Roman"/>
          <w:b/>
          <w:bCs/>
          <w:sz w:val="28"/>
          <w:szCs w:val="28"/>
        </w:rPr>
        <w:t>Hán Hiển</w:t>
      </w:r>
    </w:p>
    <w:p w:rsidR="00CF426F" w:rsidRP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AE1CF9" w:rsidRPr="00AE1CF9">
        <w:rPr>
          <w:rFonts w:ascii="Times New Roman" w:hAnsi="Times New Roman" w:cs="Times New Roman"/>
          <w:sz w:val="28"/>
          <w:szCs w:val="28"/>
        </w:rPr>
        <w:t>http://tbtagi.angiang.gov.vn/nhung-vuong-mac-bat-cap-cua-luat-chat-luong-san-pham-hang-hoa-can-sua-doi-92454.html</w:t>
      </w:r>
    </w:p>
    <w:sectPr w:rsidR="00CF426F" w:rsidRPr="00CF4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918E5"/>
    <w:rsid w:val="000B1405"/>
    <w:rsid w:val="001046B6"/>
    <w:rsid w:val="00141DCD"/>
    <w:rsid w:val="00162AD1"/>
    <w:rsid w:val="00174B28"/>
    <w:rsid w:val="00210510"/>
    <w:rsid w:val="00541FEC"/>
    <w:rsid w:val="00583569"/>
    <w:rsid w:val="006B240C"/>
    <w:rsid w:val="00800921"/>
    <w:rsid w:val="00906255"/>
    <w:rsid w:val="00A5694E"/>
    <w:rsid w:val="00AB6D2A"/>
    <w:rsid w:val="00AE1CF9"/>
    <w:rsid w:val="00AF2921"/>
    <w:rsid w:val="00B751B5"/>
    <w:rsid w:val="00CF426F"/>
    <w:rsid w:val="00DF5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5031</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2025-08-07T02:38:00Z</dcterms:created>
  <dcterms:modified xsi:type="dcterms:W3CDTF">2025-08-07T02:38:00Z</dcterms:modified>
</cp:coreProperties>
</file>