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pawhealthai---vitality-score-engine-v0.2"/>
    <w:p>
      <w:pPr>
        <w:pStyle w:val="Heading1"/>
      </w:pPr>
      <w:r>
        <w:t xml:space="preserve">PawHealthAI - Vitality Score Engine v0.2</w:t>
      </w:r>
    </w:p>
    <w:p>
      <w:pPr>
        <w:pStyle w:val="FirstParagraph"/>
      </w:pPr>
      <w:r>
        <w:rPr>
          <w:b/>
          <w:bCs/>
        </w:rPr>
        <w:t xml:space="preserve">Technical report for veterinary and engineering review</w:t>
      </w:r>
      <w:r>
        <w:t xml:space="preserve"> </w:t>
      </w:r>
      <w:r>
        <w:t xml:space="preserve">Status:</w:t>
      </w:r>
      <w:r>
        <w:t xml:space="preserve"> </w:t>
      </w:r>
      <w:r>
        <w:rPr>
          <w:i/>
          <w:iCs/>
        </w:rPr>
        <w:t xml:space="preserve">Provisional - not clinically validated</w:t>
      </w:r>
      <w:r>
        <w:t xml:space="preserve"> </w:t>
      </w:r>
      <w:r>
        <w:t xml:space="preserve">Owner: Minh · Reviewer: PawHealthAI Product &amp; Engineering Lead</w:t>
      </w:r>
    </w:p>
    <w:p>
      <w:r>
        <w:pict>
          <v:rect style="width:0;height:1.5pt" o:hralign="center" o:hrstd="t" o:hr="t"/>
        </w:pict>
      </w:r>
    </w:p>
    <w:bookmarkStart w:id="9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Upgrade the early notebook prototype into a</w:t>
      </w:r>
      <w:r>
        <w:t xml:space="preserve"> </w:t>
      </w:r>
      <w:r>
        <w:rPr>
          <w:b/>
          <w:bCs/>
        </w:rPr>
        <w:t xml:space="preserve">validation-ready, rules-based scoring</w:t>
      </w:r>
      <w:r>
        <w:rPr>
          <w:b/>
          <w:bCs/>
        </w:rPr>
        <w:t xml:space="preserve"> </w:t>
      </w:r>
      <w:r>
        <w:rPr>
          <w:b/>
          <w:bCs/>
        </w:rPr>
        <w:t xml:space="preserve">engine and test harness</w:t>
      </w:r>
      <w:r>
        <w:t xml:space="preserve"> </w:t>
      </w:r>
      <w:r>
        <w:t xml:space="preserve">built on synthetic data. The priority for v0.2 is</w:t>
      </w:r>
      <w:r>
        <w:t xml:space="preserve"> </w:t>
      </w:r>
      <w:r>
        <w:rPr>
          <w:b/>
          <w:bCs/>
        </w:rPr>
        <w:t xml:space="preserve">safety,</w:t>
      </w:r>
      <w:r>
        <w:rPr>
          <w:b/>
          <w:bCs/>
        </w:rPr>
        <w:t xml:space="preserve"> </w:t>
      </w:r>
      <w:r>
        <w:rPr>
          <w:b/>
          <w:bCs/>
        </w:rPr>
        <w:t xml:space="preserve">explainability and testability</w:t>
      </w:r>
      <w:r>
        <w:t xml:space="preserve"> </w:t>
      </w:r>
      <w:r>
        <w:t xml:space="preserve">- not machine learning and not clinical accuracy.</w:t>
      </w:r>
    </w:p>
    <w:p>
      <w:pPr>
        <w:pStyle w:val="BodyText"/>
      </w:pPr>
      <w:r>
        <w:t xml:space="preserve">The engine produces a 0-100 wellness</w:t>
      </w:r>
      <w:r>
        <w:t xml:space="preserve"> </w:t>
      </w:r>
      <w:r>
        <w:rPr>
          <w:i/>
          <w:iCs/>
        </w:rPr>
        <w:t xml:space="preserve">trend</w:t>
      </w:r>
      <w:r>
        <w:t xml:space="preserve"> </w:t>
      </w:r>
      <w:r>
        <w:t xml:space="preserve">score plus a separate acute-safety pathway.</w:t>
      </w:r>
      <w:r>
        <w:t xml:space="preserve"> </w:t>
      </w:r>
      <w:r>
        <w:t xml:space="preserve">It is explicitly</w:t>
      </w:r>
      <w:r>
        <w:t xml:space="preserve"> </w:t>
      </w:r>
      <w:r>
        <w:rPr>
          <w:b/>
          <w:bCs/>
        </w:rPr>
        <w:t xml:space="preserve">non-diagnostic</w:t>
      </w:r>
      <w:r>
        <w:t xml:space="preserve">: it never names a disease and never tells a user</w:t>
      </w:r>
      <w:r>
        <w:t xml:space="preserve"> </w:t>
      </w:r>
      <w:r>
        <w:t xml:space="preserve">their pet is healthy or sick.</w:t>
      </w:r>
    </w:p>
    <w:bookmarkEnd w:id="9"/>
    <w:bookmarkStart w:id="10" w:name="deliverables"/>
    <w:p>
      <w:pPr>
        <w:pStyle w:val="Heading2"/>
      </w:pPr>
      <w:r>
        <w:t xml:space="preserve">2. Deliverables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01"/>
        <w:gridCol w:w="54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phavit/</w:t>
            </w:r>
          </w:p>
        </w:tc>
        <w:tc>
          <w:tcPr/>
          <w:p>
            <w:pPr>
              <w:pStyle w:val="Compact"/>
            </w:pPr>
            <w:r>
              <w:t xml:space="preserve">Importable engine package:</w:t>
            </w:r>
            <w:r>
              <w:t xml:space="preserve"> </w:t>
            </w:r>
            <w:r>
              <w:rPr>
                <w:rStyle w:val="VerbatimChar"/>
              </w:rPr>
              <w:t xml:space="preserve">models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red_flags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scoring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 </w:t>
            </w:r>
            <w:r>
              <w:t xml:space="preserve">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test_case/test_phavit.py</w:t>
            </w:r>
          </w:p>
        </w:tc>
        <w:tc>
          <w:tcPr/>
          <w:p>
            <w:pPr>
              <w:pStyle w:val="Compact"/>
            </w:pPr>
            <w:r>
              <w:t xml:space="preserve">Product-state &amp; safety test suite (pytest or standalone).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test_case/*.json</w:t>
            </w:r>
          </w:p>
        </w:tc>
        <w:tc>
          <w:tcPr/>
          <w:p>
            <w:pPr>
              <w:pStyle w:val="Compact"/>
            </w:pPr>
            <w:r>
              <w:t xml:space="preserve">Five check-in fixtures:</w:t>
            </w:r>
            <w:r>
              <w:t xml:space="preserve"> </w:t>
            </w:r>
            <w:r>
              <w:rPr>
                <w:rStyle w:val="VerbatimChar"/>
              </w:rPr>
              <w:t xml:space="preserve">At_good_condition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At_risk_condition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Digestion_problem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Less_good_condition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Not_enough_data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conftest.py</w:t>
            </w:r>
          </w:p>
        </w:tc>
        <w:tc>
          <w:tcPr/>
          <w:p>
            <w:pPr>
              <w:pStyle w:val="Compact"/>
            </w:pPr>
            <w:r>
              <w:t xml:space="preserve">Puts the repo root on</w:t>
            </w:r>
            <w:r>
              <w:t xml:space="preserve"> </w:t>
            </w:r>
            <w:r>
              <w:rPr>
                <w:rStyle w:val="VerbatimChar"/>
              </w:rPr>
              <w:t xml:space="preserve">sys.path</w:t>
            </w:r>
            <w:r>
              <w:t xml:space="preserve"> </w:t>
            </w:r>
            <w:r>
              <w:t xml:space="preserve">so the tests resolve</w:t>
            </w:r>
            <w:r>
              <w:t xml:space="preserve"> </w:t>
            </w:r>
            <w:r>
              <w:rPr>
                <w:rStyle w:val="VerbatimChar"/>
              </w:rPr>
              <w:t xml:space="preserve">phavit</w:t>
            </w:r>
            <w:r>
              <w:t xml:space="preserve"> </w:t>
            </w:r>
            <w:r>
              <w:t xml:space="preserve">under pytest.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data_pipeline_vitality_score_v2.ipynb</w:t>
            </w:r>
          </w:p>
        </w:tc>
        <w:tc>
          <w:tcPr/>
          <w:p>
            <w:pPr>
              <w:pStyle w:val="Compact"/>
            </w:pPr>
            <w:r>
              <w:t xml:space="preserve">Runnable notebook: engine walkthrough plus the fixture loader.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PawHealthAI_Vitality_Score.md</w:t>
            </w:r>
          </w:p>
        </w:tc>
        <w:tc>
          <w:tcPr/>
          <w:p>
            <w:pPr>
              <w:pStyle w:val="Compact"/>
            </w:pPr>
            <w:r>
              <w:t xml:space="preserve">Product-level overview of the Vitality Score.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vitality_score_engine_v0_2_report.md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</w:p>
        </w:tc>
        <w:tc>
          <w:tcPr/>
          <w:p>
            <w:pPr>
              <w:pStyle w:val="Compact"/>
            </w:pPr>
            <w:r>
              <w:t xml:space="preserve">This report (Markdown source and exported Word copy).</w:t>
            </w:r>
          </w:p>
        </w:tc>
      </w:tr>
    </w:tbl>
    <w:p>
      <w:pPr>
        <w:pStyle w:val="BodyText"/>
      </w:pPr>
      <w:r>
        <w:rPr>
          <w:i/>
          <w:iCs/>
        </w:rPr>
        <w:t xml:space="preserve">Legacy prototypes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vitality_score_engine.py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red_engine.py</w:t>
      </w:r>
      <w:r>
        <w:rPr>
          <w:i/>
          <w:iCs/>
        </w:rPr>
        <w:t xml:space="preserve"> </w:t>
      </w:r>
      <w:r>
        <w:rPr>
          <w:i/>
          <w:iCs/>
        </w:rPr>
        <w:t xml:space="preserve">predate v0.2 and are</w:t>
      </w:r>
      <w:r>
        <w:rPr>
          <w:i/>
          <w:iCs/>
        </w:rPr>
        <w:t xml:space="preserve"> </w:t>
      </w:r>
      <w:r>
        <w:rPr>
          <w:i/>
          <w:iCs/>
        </w:rPr>
        <w:t xml:space="preserve">superseded by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phavit/</w:t>
      </w:r>
      <w:r>
        <w:rPr>
          <w:i/>
          <w:iCs/>
        </w:rPr>
        <w:t xml:space="preserve"> </w:t>
      </w:r>
      <w:r>
        <w:rPr>
          <w:i/>
          <w:iCs/>
        </w:rPr>
        <w:t xml:space="preserve">package; they remain in the repo for reference only.</w:t>
      </w:r>
    </w:p>
    <w:bookmarkEnd w:id="10"/>
    <w:bookmarkStart w:id="16" w:name="architecture"/>
    <w:p>
      <w:pPr>
        <w:pStyle w:val="Heading2"/>
      </w:pPr>
      <w:r>
        <w:t xml:space="preserve">3. Architecture</w:t>
      </w:r>
    </w:p>
    <w:p>
      <w:pPr>
        <w:pStyle w:val="FirstParagraph"/>
      </w:pPr>
      <w:r>
        <w:t xml:space="preserve">The engine now ships as an importable package rather than notebook-only code, so it</w:t>
      </w:r>
      <w:r>
        <w:t xml:space="preserve"> </w:t>
      </w:r>
      <w:r>
        <w:t xml:space="preserve">can be called from the weekly check-in flow, unit-tested and later persisted: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phavit/models.py</w:t>
      </w:r>
      <w:r>
        <w:t xml:space="preserve"> </w:t>
      </w:r>
      <w:r>
        <w:t xml:space="preserve">- the shapes of the data the engine passes around: what a pet profile</w:t>
      </w:r>
      <w:r>
        <w:t xml:space="preserve"> </w:t>
      </w:r>
      <w:r>
        <w:t xml:space="preserve">holds, what a check-in holds, what a result holds (</w:t>
      </w:r>
      <w:r>
        <w:rPr>
          <w:rStyle w:val="VerbatimChar"/>
        </w:rPr>
        <w:t xml:space="preserve">PetProfile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CheckInData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BaselineSummary</w:t>
      </w:r>
      <w:r>
        <w:t xml:space="preserve">,</w:t>
      </w:r>
      <w:r>
        <w:t xml:space="preserve"> </w:t>
      </w:r>
      <w:r>
        <w:rPr>
          <w:rStyle w:val="VerbatimChar"/>
        </w:rPr>
        <w:t xml:space="preserve">RedFlagResult</w:t>
      </w:r>
      <w:r>
        <w:t xml:space="preserve">,</w:t>
      </w:r>
      <w:r>
        <w:t xml:space="preserve"> </w:t>
      </w:r>
      <w:r>
        <w:rPr>
          <w:rStyle w:val="VerbatimChar"/>
        </w:rPr>
        <w:t xml:space="preserve">VitalityScoreResult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phavit/red_flags.py</w:t>
      </w:r>
      <w:r>
        <w:t xml:space="preserve"> </w:t>
      </w:r>
      <w:r>
        <w:t xml:space="preserve">- Layer 2, the safety net (</w:t>
      </w:r>
      <w:r>
        <w:rPr>
          <w:rStyle w:val="VerbatimChar"/>
        </w:rPr>
        <w:t xml:space="preserve">RedFlagEngine</w:t>
      </w:r>
      <w:r>
        <w:t xml:space="preserve">,</w:t>
      </w:r>
      <w:r>
        <w:t xml:space="preserve"> </w:t>
      </w:r>
      <w:r>
        <w:rPr>
          <w:rStyle w:val="VerbatimChar"/>
        </w:rPr>
        <w:t xml:space="preserve">EMERGENCY_SIGNS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phavit/scoring.py</w:t>
      </w:r>
      <w:r>
        <w:t xml:space="preserve"> </w:t>
      </w:r>
      <w:r>
        <w:t xml:space="preserve">- Layer 1, the 0-100 calculation (</w:t>
      </w:r>
      <w:r>
        <w:rPr>
          <w:rStyle w:val="VerbatimChar"/>
        </w:rPr>
        <w:t xml:space="preserve">VitalityScoreEngine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phavit/pipeline.py</w:t>
      </w:r>
      <w:r>
        <w:t xml:space="preserve"> </w:t>
      </w:r>
      <w:r>
        <w:t xml:space="preserve">- the single front door that runs the two in the right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process_checkin</w:t>
      </w:r>
      <w:r>
        <w:t xml:space="preserve">). Nothing else should be called directly.</w:t>
      </w:r>
    </w:p>
    <w:p>
      <w:pPr>
        <w:pStyle w:val="FirstParagraph"/>
      </w:pPr>
      <w:r>
        <w:t xml:space="preserve">The engine runs in two clearly separated layers, orchestrated by</w:t>
      </w:r>
      <w:r>
        <w:t xml:space="preserve"> </w:t>
      </w:r>
      <w:r>
        <w:rPr>
          <w:rStyle w:val="VerbatimChar"/>
        </w:rPr>
        <w:t xml:space="preserve">process_checkin()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check-in ─▶ Layer 2: RedFlagEngine (safety net, runs FIRST)</w:t>
      </w:r>
      <w:r>
        <w:br/>
      </w:r>
      <w:r>
        <w:rPr>
          <w:rStyle w:val="VerbatimChar"/>
        </w:rPr>
        <w:t xml:space="preserve">                 │</w:t>
      </w:r>
      <w:r>
        <w:br/>
      </w:r>
      <w:r>
        <w:rPr>
          <w:rStyle w:val="VerbatimChar"/>
        </w:rPr>
        <w:t xml:space="preserve">     emergency / urgent ──▶ safety pathway, score withheld</w:t>
      </w:r>
      <w:r>
        <w:br/>
      </w:r>
      <w:r>
        <w:rPr>
          <w:rStyle w:val="VerbatimChar"/>
        </w:rPr>
        <w:t xml:space="preserve">                 │</w:t>
      </w:r>
      <w:r>
        <w:br/>
      </w:r>
      <w:r>
        <w:rPr>
          <w:rStyle w:val="VerbatimChar"/>
        </w:rPr>
        <w:t xml:space="preserve">              monitor ──▶ attached as advisory, score still shown</w:t>
      </w:r>
      <w:r>
        <w:br/>
      </w:r>
      <w:r>
        <w:rPr>
          <w:rStyle w:val="VerbatimChar"/>
        </w:rPr>
        <w:t xml:space="preserve">                 │</w:t>
      </w:r>
      <w:r>
        <w:br/>
      </w:r>
      <w:r>
        <w:rPr>
          <w:rStyle w:val="VerbatimChar"/>
        </w:rPr>
        <w:t xml:space="preserve">              none ──▶ Layer 1: VitalityScoreEngine (0-100 baseline math)</w:t>
      </w:r>
    </w:p>
    <w:bookmarkStart w:id="13" w:name="X4d1f8ff48cc894cfd476665ce7f724631cd7940"/>
    <w:p>
      <w:pPr>
        <w:pStyle w:val="Heading3"/>
      </w:pPr>
      <w:r>
        <w:t xml:space="preserve">Layer 1 - Wellbeing score (baseline comparison)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Compares each pet only against themselves.</w:t>
      </w:r>
      <w:r>
        <w:t xml:space="preserve"> </w:t>
      </w:r>
      <w:r>
        <w:t xml:space="preserve">The baseline is the average of that</w:t>
      </w:r>
      <w:r>
        <w:t xml:space="preserve"> </w:t>
      </w:r>
      <w:r>
        <w:t xml:space="preserve">pet’s own recent appetite, energy, sleep and activity - so a naturally sleepy cat is</w:t>
      </w:r>
      <w:r>
        <w:t xml:space="preserve"> </w:t>
      </w:r>
      <w:r>
        <w:t xml:space="preserve">not marked down for being a naturally sleepy cat.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Only decline costs points.</w:t>
      </w:r>
      <w:r>
        <w:t xml:space="preserve"> </w:t>
      </w:r>
      <w:r>
        <w:t xml:space="preserve">Doing better than usual scores 0, not a bonus. There</w:t>
      </w:r>
      <w:r>
        <w:t xml:space="preserve"> </w:t>
      </w:r>
      <w:r>
        <w:t xml:space="preserve">are no fixed deductions for any particular value; what matters is the change.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Breed-aware.</w:t>
      </w:r>
      <w:r>
        <w:t xml:space="preserve"> </w:t>
      </w:r>
      <w:r>
        <w:t xml:space="preserve">For high-energy breeds (Vizsla, Border Collie) activity carries far</w:t>
      </w:r>
      <w:r>
        <w:t xml:space="preserve"> </w:t>
      </w:r>
      <w:r>
        <w:t xml:space="preserve">more of the total importance - 45% rather than 20%.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Signal vs noise.</w:t>
      </w:r>
      <w:r>
        <w:t xml:space="preserve"> </w:t>
      </w:r>
      <w:r>
        <w:t xml:space="preserve">One indicator dipping for a week is treated as ordinary</w:t>
      </w:r>
      <w:r>
        <w:t xml:space="preserve"> </w:t>
      </w:r>
      <w:r>
        <w:t xml:space="preserve">variation; two or more falling together takes an extra penalty.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Honest about not knowing.</w:t>
      </w:r>
      <w:r>
        <w:t xml:space="preserve"> </w:t>
      </w:r>
      <w:r>
        <w:t xml:space="preserve">With fewer than 4 recent check-ins the engine reports</w:t>
      </w:r>
      <w:r>
        <w:t xml:space="preserve"> </w:t>
      </w:r>
      <w:r>
        <w:rPr>
          <w:rStyle w:val="VerbatimChar"/>
        </w:rPr>
        <w:t xml:space="preserve">Building Baseline</w:t>
      </w:r>
      <w:r>
        <w:t xml:space="preserve"> </w:t>
      </w:r>
      <w:r>
        <w:t xml:space="preserve">and shows no number at all, rather than inventing one from too</w:t>
      </w:r>
      <w:r>
        <w:t xml:space="preserve"> </w:t>
      </w:r>
      <w:r>
        <w:t xml:space="preserve">little history.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Fourth-check-in unlock</w:t>
      </w:r>
      <w:r>
        <w:t xml:space="preserve">: the total counts the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t xml:space="preserve">completed check-in, so</w:t>
      </w:r>
      <w:r>
        <w:t xml:space="preserve"> </w:t>
      </w:r>
      <w:r>
        <w:t xml:space="preserve">the first score appears at 4 total (3 previous + current), not the 5th event.</w:t>
      </w:r>
      <w:r>
        <w:t xml:space="preserve"> </w:t>
      </w:r>
      <w:r>
        <w:rPr>
          <w:rStyle w:val="VerbatimChar"/>
        </w:rPr>
        <w:t xml:space="preserve">process_checkin(pet, previous_checkins, current_checkin)</w:t>
      </w:r>
      <w:r>
        <w:t xml:space="preserve"> </w:t>
      </w:r>
      <w:r>
        <w:t xml:space="preserve">takes the two apart to</w:t>
      </w:r>
      <w:r>
        <w:t xml:space="preserve"> </w:t>
      </w:r>
      <w:r>
        <w:t xml:space="preserve">keep that boundary unambiguous.</w:t>
      </w:r>
    </w:p>
    <w:bookmarkStart w:id="11" w:name="how-the-score-is-worked-out"/>
    <w:p>
      <w:pPr>
        <w:pStyle w:val="Heading4"/>
      </w:pPr>
      <w:r>
        <w:t xml:space="preserve">How the score is worked out</w:t>
      </w:r>
    </w:p>
    <w:p>
      <w:pPr>
        <w:pStyle w:val="FirstParagraph"/>
      </w:pPr>
      <w:r>
        <w:t xml:space="preserve">Every pet starts the week on</w:t>
      </w:r>
      <w:r>
        <w:t xml:space="preserve"> </w:t>
      </w:r>
      <w:r>
        <w:rPr>
          <w:b/>
          <w:bCs/>
        </w:rPr>
        <w:t xml:space="preserve">100</w:t>
      </w:r>
      <w:r>
        <w:t xml:space="preserve"> </w:t>
      </w:r>
      <w:r>
        <w:t xml:space="preserve">and only ever loses points. There is no way to gain</w:t>
      </w:r>
      <w:r>
        <w:t xml:space="preserve"> </w:t>
      </w:r>
      <w:r>
        <w:t xml:space="preserve">them back above 100, because the score measures decline against the pet’s own normal, not</w:t>
      </w:r>
      <w:r>
        <w:t xml:space="preserve"> </w:t>
      </w:r>
      <w:r>
        <w:t xml:space="preserve">performance against other pets.</w:t>
      </w:r>
    </w:p>
    <w:p>
      <w:pPr>
        <w:pStyle w:val="BodyText"/>
      </w:pPr>
      <w:r>
        <w:rPr>
          <w:b/>
          <w:bCs/>
        </w:rPr>
        <w:t xml:space="preserve">Step 1 - Establish what is normal for this pet.</w:t>
      </w:r>
      <w:r>
        <w:t xml:space="preserve"> </w:t>
      </w:r>
      <w:r>
        <w:t xml:space="preserve">Average their last few check-ins for each of appetite, energy, sleep quality and activity</w:t>
      </w:r>
      <w:r>
        <w:t xml:space="preserve"> </w:t>
      </w:r>
      <w:r>
        <w:t xml:space="preserve">minutes. Those four averages are the baseline. A cat who normally sleeps a lot has a high</w:t>
      </w:r>
      <w:r>
        <w:t xml:space="preserve"> </w:t>
      </w:r>
      <w:r>
        <w:t xml:space="preserve">sleep baseline; nothing is compared against a species or breed average.</w:t>
      </w:r>
    </w:p>
    <w:p>
      <w:pPr>
        <w:pStyle w:val="BodyText"/>
      </w:pPr>
      <w:r>
        <w:rPr>
          <w:b/>
          <w:bCs/>
        </w:rPr>
        <w:t xml:space="preserve">Step 2 - Compare this week, counting only what went down.</w:t>
      </w:r>
      <w:r>
        <w:t xml:space="preserve"> </w:t>
      </w:r>
      <w:r>
        <w:t xml:space="preserve">If appetite was normally 4 and is 3 this week, that is a drop of 1. If it went</w:t>
      </w:r>
      <w:r>
        <w:t xml:space="preserve"> </w:t>
      </w:r>
      <w:r>
        <w:rPr>
          <w:i/>
          <w:iCs/>
        </w:rPr>
        <w:t xml:space="preserve">up</w:t>
      </w:r>
      <w:r>
        <w:t xml:space="preserve">,</w:t>
      </w:r>
      <w:r>
        <w:t xml:space="preserve"> </w:t>
      </w:r>
      <w:r>
        <w:t xml:space="preserve">that counts as 0, not as a bonus. Activity is handled as a percentage rather than a count,</w:t>
      </w:r>
      <w:r>
        <w:t xml:space="preserve"> </w:t>
      </w:r>
      <w:r>
        <w:t xml:space="preserve">because</w:t>
      </w:r>
      <w:r>
        <w:t xml:space="preserve"> </w:t>
      </w:r>
      <w:r>
        <w:t xml:space="preserve">“20 minutes less”</w:t>
      </w:r>
      <w:r>
        <w:t xml:space="preserve"> </w:t>
      </w:r>
      <w:r>
        <w:t xml:space="preserve">means something very different for a Greyhound than a Pug.</w:t>
      </w:r>
    </w:p>
    <w:p>
      <w:pPr>
        <w:pStyle w:val="BodyText"/>
      </w:pPr>
      <w:r>
        <w:rPr>
          <w:b/>
          <w:bCs/>
        </w:rPr>
        <w:t xml:space="preserve">Step 3 - Decide how much each drop matters.</w:t>
      </w:r>
      <w:r>
        <w:t xml:space="preserve"> </w:t>
      </w:r>
      <w:r>
        <w:t xml:space="preserve">The four indicators share 100% of the importance between them. For a typical pet that is</w:t>
      </w:r>
      <w:r>
        <w:t xml:space="preserve"> </w:t>
      </w:r>
      <w:r>
        <w:t xml:space="preserve">appetite 30%, energy 30%, sleep 20%, activity 20%. For a high-energy breed more of that</w:t>
      </w:r>
      <w:r>
        <w:t xml:space="preserve"> </w:t>
      </w:r>
      <w:r>
        <w:t xml:space="preserve">100% shifts onto activity. The shares always total 100%, which is what makes the two</w:t>
      </w:r>
      <w:r>
        <w:t xml:space="preserve"> </w:t>
      </w:r>
      <w:r>
        <w:t xml:space="preserve">profiles comparable to each other.</w:t>
      </w:r>
    </w:p>
    <w:p>
      <w:pPr>
        <w:pStyle w:val="BodyText"/>
      </w:pPr>
      <w:r>
        <w:rPr>
          <w:b/>
          <w:bCs/>
        </w:rPr>
        <w:t xml:space="preserve">Step 4 - Turn the drops into points.</w:t>
      </w:r>
      <w:r>
        <w:t xml:space="preserve"> </w:t>
      </w:r>
      <w:r>
        <w:t xml:space="preserve">A pet who collapsed all the way to the bottom on every indicator at once would lose</w:t>
      </w:r>
      <w:r>
        <w:t xml:space="preserve"> </w:t>
      </w:r>
      <w:r>
        <w:rPr>
          <w:b/>
          <w:bCs/>
        </w:rPr>
        <w:t xml:space="preserve">60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from this step. Everything smaller is proportional. So a one-point appetite drop</w:t>
      </w:r>
      <w:r>
        <w:t xml:space="preserve"> </w:t>
      </w:r>
      <w:r>
        <w:t xml:space="preserve">for a typical pet costs 30% of 60 =</w:t>
      </w:r>
      <w:r>
        <w:t xml:space="preserve"> </w:t>
      </w:r>
      <w:r>
        <w:rPr>
          <w:b/>
          <w:bCs/>
        </w:rPr>
        <w:t xml:space="preserve">18 points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5 - Add a penalty if several things fall together.</w:t>
      </w:r>
      <w:r>
        <w:t xml:space="preserve"> </w:t>
      </w:r>
      <w:r>
        <w:t xml:space="preserve">If two or more indicators dropped meaningfully in the same week, take a further</w:t>
      </w:r>
      <w:r>
        <w:t xml:space="preserve"> </w:t>
      </w:r>
      <w:r>
        <w:rPr>
          <w:b/>
          <w:bCs/>
        </w:rPr>
        <w:t xml:space="preserve">12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. Two things sliding at once is more meaningful than either alone - this is the</w:t>
      </w:r>
      <w:r>
        <w:t xml:space="preserve"> </w:t>
      </w:r>
      <w:r>
        <w:t xml:space="preserve">“signal versus noise”</w:t>
      </w:r>
      <w:r>
        <w:t xml:space="preserve"> </w:t>
      </w:r>
      <w:r>
        <w:t xml:space="preserve">rule, and it is the one place the engine treats the whole as more</w:t>
      </w:r>
      <w:r>
        <w:t xml:space="preserve"> </w:t>
      </w:r>
      <w:r>
        <w:t xml:space="preserve">than the sum of the parts.</w:t>
      </w:r>
    </w:p>
    <w:p>
      <w:pPr>
        <w:pStyle w:val="BodyText"/>
      </w:pPr>
      <w:r>
        <w:rPr>
          <w:b/>
          <w:bCs/>
        </w:rPr>
        <w:t xml:space="preserve">Step 6 - Apply the care nudge.</w:t>
      </w:r>
      <w:r>
        <w:t xml:space="preserve"> </w:t>
      </w:r>
      <w:r>
        <w:t xml:space="preserve">Take</w:t>
      </w:r>
      <w:r>
        <w:t xml:space="preserve"> </w:t>
      </w:r>
      <w:r>
        <w:rPr>
          <w:b/>
          <w:bCs/>
        </w:rPr>
        <w:t xml:space="preserve">8 points</w:t>
      </w:r>
      <w:r>
        <w:t xml:space="preserve"> </w:t>
      </w:r>
      <w:r>
        <w:t xml:space="preserve">if worming is overdue. This is a care-compliance prompt, not a health</w:t>
      </w:r>
      <w:r>
        <w:t xml:space="preserve"> </w:t>
      </w:r>
      <w:r>
        <w:t xml:space="preserve">measurement, and §8.2 question 8 asks whether it belongs in this score at all.</w:t>
      </w:r>
    </w:p>
    <w:p>
      <w:pPr>
        <w:pStyle w:val="BodyText"/>
      </w:pPr>
      <w:r>
        <w:rPr>
          <w:b/>
          <w:bCs/>
        </w:rPr>
        <w:t xml:space="preserve">Step 7 - Round, and clamp to the 0-100 range.</w:t>
      </w:r>
      <w:r>
        <w:t xml:space="preserve"> </w:t>
      </w:r>
      <w:r>
        <w:t xml:space="preserve">Then read off the band:</w:t>
      </w:r>
      <w:r>
        <w:t xml:space="preserve"> </w:t>
      </w:r>
      <w:r>
        <w:rPr>
          <w:b/>
          <w:bCs/>
        </w:rPr>
        <w:t xml:space="preserve">Bright Green ≥85 · Medium Green ≥70 · Watch ≥50 · Action Needed</w:t>
      </w:r>
      <w:r>
        <w:rPr>
          <w:b/>
          <w:bCs/>
        </w:rPr>
        <w:t xml:space="preserve"> </w:t>
      </w:r>
      <w:r>
        <w:rPr>
          <w:b/>
          <w:bCs/>
        </w:rPr>
        <w:t xml:space="preserve">&lt;50</w:t>
      </w:r>
      <w:r>
        <w:t xml:space="preserve"> </w:t>
      </w:r>
      <w:r>
        <w:t xml:space="preserve">(all provisional).</w:t>
      </w:r>
    </w:p>
    <w:p>
      <w:pPr>
        <w:pStyle w:val="BodyText"/>
      </w:pPr>
      <w:r>
        <w:rPr>
          <w:b/>
          <w:bCs/>
        </w:rPr>
        <w:t xml:space="preserve">Worked example.</w:t>
      </w:r>
      <w:r>
        <w:t xml:space="preserve"> </w:t>
      </w:r>
      <w:r>
        <w:t xml:space="preserve">A Labrador whose normal is appetite 4, energy 4, sleep 4, and 60</w:t>
      </w:r>
      <w:r>
        <w:t xml:space="preserve"> </w:t>
      </w:r>
      <w:r>
        <w:t xml:space="preserve">minutes of activity. This week appetite and energy are both 3, sleep and activity unchanged.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Working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Running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Appetite down 1 of 5</w:t>
            </w:r>
          </w:p>
        </w:tc>
        <w:tc>
          <w:tcPr/>
          <w:p>
            <w:pPr>
              <w:pStyle w:val="Compact"/>
            </w:pPr>
            <w:r>
              <w:t xml:space="preserve">30% share × 60 = 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Energy down 1 of 5</w:t>
            </w:r>
          </w:p>
        </w:tc>
        <w:tc>
          <w:tcPr/>
          <w:p>
            <w:pPr>
              <w:pStyle w:val="Compact"/>
            </w:pPr>
            <w:r>
              <w:t xml:space="preserve">30% share × 60 = 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Sleep unchanged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Activity unchanged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indicators fell together</w:t>
            </w:r>
          </w:p>
        </w:tc>
        <w:tc>
          <w:tcPr/>
          <w:p>
            <w:pPr>
              <w:pStyle w:val="Compact"/>
            </w:pPr>
            <w:r>
              <w:t xml:space="preserve">flat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52</w:t>
            </w:r>
          </w:p>
        </w:tc>
      </w:tr>
    </w:tbl>
    <w:p>
      <w:pPr>
        <w:pStyle w:val="BodyText"/>
      </w:pPr>
      <w:r>
        <w:rPr>
          <w:b/>
          <w:bCs/>
        </w:rPr>
        <w:t xml:space="preserve">52 - Watch.</w:t>
      </w:r>
      <w:r>
        <w:t xml:space="preserve"> </w:t>
      </w:r>
      <w:r>
        <w:t xml:space="preserve">Had appetite alone dropped, the pet would have finished on 82 (Medium</w:t>
      </w:r>
      <w:r>
        <w:t xml:space="preserve"> </w:t>
      </w:r>
      <w:r>
        <w:t xml:space="preserve">Green). The second indicator is what moves them a whole band, which is the intended</w:t>
      </w:r>
      <w:r>
        <w:t xml:space="preserve"> </w:t>
      </w:r>
      <w:r>
        <w:t xml:space="preserve">behaviour and the thing §8.2 question 4 asks you to sanity-check.</w:t>
      </w:r>
    </w:p>
    <w:bookmarkEnd w:id="11"/>
    <w:bookmarkStart w:id="12" w:name="formal-notation"/>
    <w:p>
      <w:pPr>
        <w:pStyle w:val="Heading4"/>
      </w:pPr>
      <w:r>
        <w:t xml:space="preserve">Formal notation</w:t>
      </w:r>
    </w:p>
    <w:p>
      <w:pPr>
        <w:pStyle w:val="BlockText"/>
      </w:pPr>
      <w:r>
        <w:rPr>
          <w:b/>
          <w:bCs/>
        </w:rPr>
        <w:t xml:space="preserve">Engineering reference — skip this block unless you are implementing the engine.</w:t>
      </w:r>
      <w:r>
        <w:t xml:space="preserve"> </w:t>
      </w:r>
      <w:r>
        <w:t xml:space="preserve">It restates steps 1-7 above exactly and adds nothing to them.</w:t>
      </w:r>
    </w:p>
    <w:p>
      <w:pPr>
        <w:pStyle w:val="FirstParagraph"/>
      </w:pPr>
      <w:r>
        <w:t xml:space="preserve">With baseline means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E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M</m:t>
            </m:r>
          </m:e>
        </m:acc>
      </m:oMath>
      <w:r>
        <w:t xml:space="preserve"> </w:t>
      </w:r>
      <w:r>
        <w:t xml:space="preserve">(appetite, energy, sleep, activity)</w:t>
      </w:r>
      <w:r>
        <w:t xml:space="preserve"> </w:t>
      </w:r>
      <w:r>
        <w:t xml:space="preserve">over the last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 </w:t>
      </w:r>
      <w:r>
        <w:t xml:space="preserve">check-ins, take</w:t>
      </w:r>
      <w:r>
        <w:t xml:space="preserve"> </w:t>
      </w:r>
      <w:r>
        <w:rPr>
          <w:b/>
          <w:bCs/>
        </w:rPr>
        <w:t xml:space="preserve">downward deviations only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Δ</m:t>
          </m:r>
          <m: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acc>
            <m:accPr>
              <m:chr m:val="‾"/>
            </m:accPr>
            <m:e>
              <m:r>
                <m:t>E</m:t>
              </m:r>
            </m:e>
          </m:acc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Δ</m:t>
          </m:r>
          <m:r>
            <m:t>s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acc>
            <m:accPr>
              <m:chr m:val="‾"/>
            </m:accPr>
            <m:e>
              <m:r>
                <m:t>S</m:t>
              </m:r>
            </m:e>
          </m:acc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Δ</m:t>
          </m:r>
          <m:r>
            <m:t>m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acc>
                    <m:accPr>
                      <m:chr m:val="‾"/>
                    </m:accPr>
                    <m:e>
                      <m:r>
                        <m:t>M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M</m:t>
                      </m:r>
                    </m:e>
                  </m:acc>
                </m:den>
              </m:f>
            </m:e>
          </m:d>
        </m:oMath>
      </m:oMathPara>
    </w:p>
    <w:p>
      <w:pPr>
        <w:pStyle w:val="FirstParagraph"/>
      </w:pPr>
      <w:r>
        <w:t xml:space="preserve">(</w:t>
      </w:r>
      <m:oMath>
        <m:r>
          <m:rPr>
            <m:sty m:val="p"/>
          </m:rPr>
          <m:t>Δ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Δ</m:t>
        </m:r>
        <m:r>
          <m:t>e</m:t>
        </m:r>
        <m:r>
          <m:rPr>
            <m:sty m:val="p"/>
          </m:rPr>
          <m:t>,</m:t>
        </m:r>
        <m:r>
          <m:rPr>
            <m:sty m:val="p"/>
          </m:rPr>
          <m:t>Δ</m:t>
        </m:r>
        <m:r>
          <m:t>s</m:t>
        </m:r>
      </m:oMath>
      <w:r>
        <w:t xml:space="preserve"> </w:t>
      </w:r>
      <w:r>
        <w:t xml:space="preserve">are 1–5 point drops;</w:t>
      </w:r>
      <w:r>
        <w:t xml:space="preserve"> </w:t>
      </w:r>
      <m:oMath>
        <m:r>
          <m:rPr>
            <m:sty m:val="p"/>
          </m:rPr>
          <m:t>Δ</m:t>
        </m:r>
        <m:r>
          <m:t>m</m:t>
        </m:r>
      </m:oMath>
      <w:r>
        <w:t xml:space="preserve"> </w:t>
      </w:r>
      <w:r>
        <w:t xml:space="preserve">is a fraction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.)</w:t>
      </w:r>
      <w:r>
        <w:t xml:space="preserve"> </w:t>
      </w:r>
      <w:r>
        <w:t xml:space="preserve">Apply breed-aware weights (each set sums to 1) and the tuning constant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60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,</m:t>
          </m:r>
          <m:sSub>
            <m:e>
              <m:r>
                <m:t>w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,</m:t>
          </m:r>
          <m:sSub>
            <m:e>
              <m:r>
                <m:t>w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,</m:t>
          </m:r>
          <m:sSub>
            <m:e>
              <m:r>
                <m:t>w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(</m:t>
                    </m:r>
                    <m:r>
                      <m:t>0.30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0.30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0.20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0.20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normal breed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(</m:t>
                    </m:r>
                    <m:r>
                      <m:t>0.20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0.10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0.45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high-energy breed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−</m:t>
          </m:r>
          <m:r>
            <m:t>D</m:t>
          </m:r>
          <m:r>
            <m:t> 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w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Δ</m:t>
              </m:r>
              <m:r>
                <m:t>e</m:t>
              </m:r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Δ</m:t>
              </m:r>
              <m:r>
                <m:t>s</m:t>
              </m:r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Δ</m:t>
              </m:r>
              <m:r>
                <m:t>m</m:t>
              </m:r>
            </m:e>
          </m:d>
        </m:oMath>
      </m:oMathPara>
    </w:p>
    <w:p>
      <w:pPr>
        <w:pStyle w:val="FirstParagraph"/>
      </w:pPr>
      <w:r>
        <w:t xml:space="preserve">Add the multi-decline penalty, 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counts indicators that dropped meaningfully</w:t>
      </w:r>
      <w:r>
        <w:t xml:space="preserve"> </w:t>
      </w:r>
      <w:r>
        <w:t xml:space="preserve">(</w:t>
      </w:r>
      <m:oMath>
        <m:r>
          <m:rPr>
            <m:sty m:val="p"/>
          </m:rPr>
          <m:t>Δ</m:t>
        </m:r>
        <m:r>
          <m:t>a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Δ</m:t>
        </m:r>
        <m:r>
          <m:t>e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Δ</m:t>
        </m:r>
        <m:r>
          <m:t>s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Δ</m:t>
        </m:r>
        <m:r>
          <m:t>m</m:t>
        </m:r>
        <m:r>
          <m:rPr>
            <m:sty m:val="p"/>
          </m:rPr>
          <m:t>≥</m:t>
        </m:r>
        <m:r>
          <m:t>0.25</m:t>
        </m:r>
      </m:oMath>
      <w:r>
        <w:t xml:space="preserve">), then the care nudge: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12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1</m:t>
          </m:r>
          <m:r>
            <m:rPr>
              <m:sty m:val="p"/>
            </m:rPr>
            <m:t>[</m:t>
          </m:r>
          <m:r>
            <m:t>k</m:t>
          </m:r>
          <m:r>
            <m:rPr>
              <m:sty m:val="p"/>
            </m:rPr>
            <m:t>≥</m:t>
          </m:r>
          <m:r>
            <m:t>2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8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1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not worming_compliant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r>
                <m:t>100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round</m:t>
              </m:r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d>
        </m:oMath>
      </m:oMathPara>
    </w:p>
    <w:bookmarkEnd w:id="12"/>
    <w:bookmarkEnd w:id="13"/>
    <w:bookmarkStart w:id="14" w:name="layer-2---red-flag-override-three-tiers"/>
    <w:p>
      <w:pPr>
        <w:pStyle w:val="Heading3"/>
      </w:pPr>
      <w:r>
        <w:t xml:space="preserve">Layer 2 - Red-flag override (three tiers)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4455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Example triggers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Emergency</w:t>
            </w:r>
          </w:p>
        </w:tc>
        <w:tc>
          <w:tcPr/>
          <w:p>
            <w:pPr>
              <w:pStyle w:val="Compact"/>
            </w:pPr>
            <w:r>
              <w:t xml:space="preserve">collapse, breathing difficulty, seizure, severe bleeding, suspected toxin ingestion, inability to urinate</w:t>
            </w:r>
          </w:p>
        </w:tc>
        <w:tc>
          <w:tcPr/>
          <w:p>
            <w:pPr>
              <w:pStyle w:val="Compact"/>
            </w:pPr>
            <w:r>
              <w:t xml:space="preserve">Emergency guidance pathway;</w:t>
            </w:r>
            <w:r>
              <w:t xml:space="preserve"> </w:t>
            </w:r>
            <w:r>
              <w:rPr>
                <w:b/>
                <w:bCs/>
              </w:rPr>
              <w:t xml:space="preserve">no reassuring score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Urgent</w:t>
            </w:r>
          </w:p>
        </w:tc>
        <w:tc>
          <w:tcPr/>
          <w:p>
            <w:pPr>
              <w:pStyle w:val="Compact"/>
            </w:pPr>
            <w:r>
              <w:t xml:space="preserve">blood in stool (esp. with lethargy), repeated vomiting, persistent appetite loss, increased thirst over repeated check-ins, signs of pain</w:t>
            </w:r>
          </w:p>
        </w:tc>
        <w:tc>
          <w:tcPr/>
          <w:p>
            <w:pPr>
              <w:pStyle w:val="Compact"/>
            </w:pPr>
            <w:r>
              <w:t xml:space="preserve">Action Needed / urgent vet review pathway.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</w:t>
            </w:r>
          </w:p>
        </w:tc>
        <w:tc>
          <w:tcPr/>
          <w:p>
            <w:pPr>
              <w:pStyle w:val="Compact"/>
            </w:pPr>
            <w:r>
              <w:t xml:space="preserve">single vomiting/diarrhoea, tick found, mild single-day dips</w:t>
            </w:r>
          </w:p>
        </w:tc>
        <w:tc>
          <w:tcPr/>
          <w:p>
            <w:pPr>
              <w:pStyle w:val="Compact"/>
            </w:pPr>
            <w:r>
              <w:t xml:space="preserve">Watch/monitor band with a safe explanation; score still shown.</w:t>
            </w:r>
          </w:p>
        </w:tc>
      </w:tr>
    </w:tbl>
    <w:p>
      <w:pPr>
        <w:pStyle w:val="BodyText"/>
      </w:pPr>
      <w:r>
        <w:t xml:space="preserve">Red flags sit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t xml:space="preserve">the 0-100 math. Acute signs trigger a safety pathway rather</w:t>
      </w:r>
      <w:r>
        <w:t xml:space="preserve"> </w:t>
      </w:r>
      <w:r>
        <w:t xml:space="preserve">than merely lowering a number, so a serious sign can never be averaged away by otherwise</w:t>
      </w:r>
      <w:r>
        <w:t xml:space="preserve"> </w:t>
      </w:r>
      <w:r>
        <w:t xml:space="preserve">good vitals.</w:t>
      </w:r>
    </w:p>
    <w:bookmarkEnd w:id="14"/>
    <w:bookmarkStart w:id="15" w:name="removal-of-diagnostic-outputs"/>
    <w:p>
      <w:pPr>
        <w:pStyle w:val="Heading3"/>
      </w:pPr>
      <w:r>
        <w:t xml:space="preserve">Removal of diagnostic outputs</w:t>
      </w:r>
    </w:p>
    <w:p>
      <w:pPr>
        <w:pStyle w:val="FirstParagraph"/>
      </w:pPr>
      <w:r>
        <w:t xml:space="preserve">The earlier prototype attempted to list possible conditions a pet might have. That</w:t>
      </w:r>
      <w:r>
        <w:t xml:space="preserve"> </w:t>
      </w:r>
      <w:r>
        <w:t xml:space="preserve">capability has been</w:t>
      </w:r>
      <w:r>
        <w:t xml:space="preserve"> </w:t>
      </w:r>
      <w:r>
        <w:rPr>
          <w:b/>
          <w:bCs/>
        </w:rPr>
        <w:t xml:space="preserve">removed entirely</w:t>
      </w:r>
      <w:r>
        <w:t xml:space="preserve">, not hidden or disabled - the engine can no</w:t>
      </w:r>
      <w:r>
        <w:t xml:space="preserve"> </w:t>
      </w:r>
      <w:r>
        <w:t xml:space="preserve">longer produce a disease name because it no longer has anywhere to put one.</w:t>
      </w:r>
    </w:p>
    <w:p>
      <w:pPr>
        <w:pStyle w:val="BodyText"/>
      </w:pPr>
      <w:r>
        <w:t xml:space="preserve">What replaces it is a record of</w:t>
      </w:r>
      <w:r>
        <w:t xml:space="preserve"> </w:t>
      </w:r>
      <w:r>
        <w:rPr>
          <w:i/>
          <w:iCs/>
        </w:rPr>
        <w:t xml:space="preserve">why we escalated and what the owner should do</w:t>
      </w:r>
      <w:r>
        <w:t xml:space="preserve">, never</w:t>
      </w:r>
      <w:r>
        <w:t xml:space="preserve"> </w:t>
      </w:r>
      <w:r>
        <w:t xml:space="preserve">what we think is wrong:</w:t>
      </w:r>
      <w:r>
        <w:t xml:space="preserve"> </w:t>
      </w:r>
      <w:r>
        <w:rPr>
          <w:rStyle w:val="VerbatimChar"/>
        </w:rPr>
        <w:t xml:space="preserve">trigger</w:t>
      </w:r>
      <w:r>
        <w:t xml:space="preserve"> </w:t>
      </w:r>
      <w:r>
        <w:t xml:space="preserve">(a short internal label),</w:t>
      </w:r>
      <w:r>
        <w:t xml:space="preserve"> </w:t>
      </w:r>
      <w:r>
        <w:rPr>
          <w:rStyle w:val="VerbatimChar"/>
        </w:rPr>
        <w:t xml:space="preserve">severity_tier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clinical_reason_for_escalation</w:t>
      </w:r>
      <w:r>
        <w:t xml:space="preserve"> </w:t>
      </w:r>
      <w:r>
        <w:t xml:space="preserve">(describing the reported sign, not a cause),</w:t>
      </w:r>
      <w:r>
        <w:t xml:space="preserve"> </w:t>
      </w:r>
      <w:r>
        <w:rPr>
          <w:rStyle w:val="VerbatimChar"/>
        </w:rPr>
        <w:t xml:space="preserve">recommended_user_pathway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vet_validation_required</w:t>
      </w:r>
      <w:r>
        <w:t xml:space="preserve">. An automated test checks every</w:t>
      </w:r>
      <w:r>
        <w:t xml:space="preserve"> </w:t>
      </w:r>
      <w:r>
        <w:t xml:space="preserve">message the engine can produce against a list of condition names and fails the build if</w:t>
      </w:r>
      <w:r>
        <w:t xml:space="preserve"> </w:t>
      </w:r>
      <w:r>
        <w:t xml:space="preserve">one ever appears.</w:t>
      </w:r>
    </w:p>
    <w:bookmarkEnd w:id="15"/>
    <w:bookmarkEnd w:id="16"/>
    <w:bookmarkStart w:id="17" w:name="explanation-layer"/>
    <w:p>
      <w:pPr>
        <w:pStyle w:val="Heading2"/>
      </w:pPr>
      <w:r>
        <w:t xml:space="preserve">4. Explanation layer</w:t>
      </w:r>
    </w:p>
    <w:p>
      <w:pPr>
        <w:pStyle w:val="FirstParagraph"/>
      </w:pPr>
      <w:r>
        <w:t xml:space="preserve">Every output includes a plain-English, non-diagnostic explanation, e.g.:</w:t>
      </w:r>
    </w:p>
    <w:p>
      <w:pPr>
        <w:pStyle w:val="BlockText"/>
      </w:pPr>
      <w:r>
        <w:t xml:space="preserve">“Rex’s score is lower this week mainly because energy below usual, activity below usual</w:t>
      </w:r>
      <w:r>
        <w:t xml:space="preserve"> </w:t>
      </w:r>
      <w:r>
        <w:t xml:space="preserve">compared with their usual baseline. This is a wellbeing trend, not a diagnosis. If it</w:t>
      </w:r>
      <w:r>
        <w:t xml:space="preserve"> </w:t>
      </w:r>
      <w:r>
        <w:t xml:space="preserve">continues or worsens, veterinary advice should be considered.”</w:t>
      </w:r>
    </w:p>
    <w:p>
      <w:pPr>
        <w:pStyle w:val="BlockText"/>
      </w:pPr>
      <w:r>
        <w:t xml:space="preserve">“Increased thirst may require veterinary review, especially if it persists or appears</w:t>
      </w:r>
      <w:r>
        <w:t xml:space="preserve"> </w:t>
      </w:r>
      <w:r>
        <w:t xml:space="preserve">with changes in appetite, weight, urination, or energy.”</w:t>
      </w:r>
    </w:p>
    <w:bookmarkEnd w:id="17"/>
    <w:bookmarkStart w:id="18" w:name="test-harness-results"/>
    <w:p>
      <w:pPr>
        <w:pStyle w:val="Heading2"/>
      </w:pPr>
      <w:r>
        <w:t xml:space="preserve">5. Test harness &amp; results</w:t>
      </w:r>
    </w:p>
    <w:p>
      <w:pPr>
        <w:pStyle w:val="FirstParagraph"/>
      </w:pPr>
      <w:r>
        <w:rPr>
          <w:b/>
          <w:bCs/>
        </w:rPr>
        <w:t xml:space="preserve">Scenario harness (notebook).</w:t>
      </w:r>
      <w:r>
        <w:t xml:space="preserve"> </w:t>
      </w:r>
      <w:r>
        <w:t xml:space="preserve">11 named scenarios (stable adult dog, high-energy</w:t>
      </w:r>
      <w:r>
        <w:t xml:space="preserve"> </w:t>
      </w:r>
      <w:r>
        <w:t xml:space="preserve">reduced activity, senior gradual decline, puppy variable sleep/activity, cat appetite</w:t>
      </w:r>
      <w:r>
        <w:t xml:space="preserve"> </w:t>
      </w:r>
      <w:r>
        <w:t xml:space="preserve">drop, blood in stool, repeated increased thirst, persistent low appetite + lethargy,</w:t>
      </w:r>
      <w:r>
        <w:t xml:space="preserve"> </w:t>
      </w:r>
      <w:r>
        <w:t xml:space="preserve">emergency collapse, inconsistent low-confidence history, single vomiting). For each,</w:t>
      </w:r>
      <w:r>
        <w:t xml:space="preserve"> </w:t>
      </w:r>
      <w:r>
        <w:t xml:space="preserve">expected band and override tier are declared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running the engine. Current</w:t>
      </w:r>
      <w:r>
        <w:t xml:space="preserve"> </w:t>
      </w:r>
      <w:r>
        <w:t xml:space="preserve">result:</w:t>
      </w:r>
      <w:r>
        <w:t xml:space="preserve"> </w:t>
      </w:r>
      <w:r>
        <w:rPr>
          <w:b/>
          <w:bCs/>
        </w:rPr>
        <w:t xml:space="preserve">11/11 scenarios match expectation.</w:t>
      </w:r>
    </w:p>
    <w:p>
      <w:pPr>
        <w:pStyle w:val="BodyText"/>
      </w:pPr>
      <w:r>
        <w:rPr>
          <w:b/>
          <w:bCs/>
        </w:rPr>
        <w:t xml:space="preserve">Product-state suite (</w:t>
      </w:r>
      <w:r>
        <w:rPr>
          <w:rStyle w:val="VerbatimChar"/>
          <w:b/>
          <w:bCs/>
        </w:rPr>
        <w:t xml:space="preserve">test_case/test_phavit.py</w:t>
      </w:r>
      <w:r>
        <w:rPr>
          <w:b/>
          <w:bCs/>
        </w:rPr>
        <w:t xml:space="preserve">).</w:t>
      </w:r>
      <w:r>
        <w:t xml:space="preserve"> </w:t>
      </w:r>
      <w:r>
        <w:t xml:space="preserve">A pytest suite that asserts the</w:t>
      </w:r>
      <w:r>
        <w:t xml:space="preserve"> </w:t>
      </w:r>
      <w:r>
        <w:t xml:space="preserve">eight product states from the actionable plan, so regressions fail loudly. It runs</w:t>
      </w:r>
      <w:r>
        <w:t xml:space="preserve"> </w:t>
      </w:r>
      <w:r>
        <w:t xml:space="preserve">under pytest (</w:t>
      </w:r>
      <w:r>
        <w:rPr>
          <w:rStyle w:val="VerbatimChar"/>
        </w:rPr>
        <w:t xml:space="preserve">python -m pytest test_case/test_phavit.py</w:t>
      </w:r>
      <w:r>
        <w:t xml:space="preserve">) or 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 test_case/test_phavit.py</w:t>
      </w:r>
      <w:r>
        <w:t xml:space="preserve">, no pytest required). Current result:</w:t>
      </w:r>
      <w:r>
        <w:t xml:space="preserve"> </w:t>
      </w:r>
      <w:r>
        <w:rPr>
          <w:b/>
          <w:bCs/>
        </w:rPr>
        <w:t xml:space="preserve">11/11 pass.</w:t>
      </w:r>
      <w:r>
        <w:t xml:space="preserve"> </w:t>
      </w:r>
      <w:r>
        <w:t xml:space="preserve">Coverage: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666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State asserted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Building Baseline while fewer than four total check-ins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First score unlocks on the fourth check-in (and not the third)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Stable check-in scores Bright/Medium 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Multiple declining indicators drop the band to Watch/Action Needed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Emergency sign (collapse, suspected toxin) suppresses the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Urgent sign (blood in stool + low energy) suppresses the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Monitor sign (single vomiting) keeps the score and attaches an advisory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High-energy breed weighting amplifies an activity drop</w:t>
            </w:r>
          </w:p>
        </w:tc>
      </w:tr>
    </w:tbl>
    <w:p>
      <w:pPr>
        <w:pStyle w:val="BodyText"/>
      </w:pPr>
      <w:r>
        <w:t xml:space="preserve">Two further guards run alongside: missing optional fields fall back safely, the</w:t>
      </w:r>
      <w:r>
        <w:t xml:space="preserve"> </w:t>
      </w:r>
      <w:r>
        <w:t xml:space="preserve">typo-tolerant loaders read the real fixtures, and</w:t>
      </w:r>
      <w:r>
        <w:t xml:space="preserve"> </w:t>
      </w:r>
      <w:r>
        <w:rPr>
          <w:b/>
          <w:bCs/>
        </w:rPr>
        <w:t xml:space="preserve">no disease name</w:t>
      </w:r>
      <w:r>
        <w:t xml:space="preserve"> </w:t>
      </w:r>
      <w:r>
        <w:t xml:space="preserve">appears in any</w:t>
      </w:r>
      <w:r>
        <w:t xml:space="preserve"> </w:t>
      </w:r>
      <w:r>
        <w:t xml:space="preserve">user-facing explanation across every scenario and fixture.</w:t>
      </w:r>
    </w:p>
    <w:bookmarkEnd w:id="18"/>
    <w:bookmarkStart w:id="19" w:name="assumptions"/>
    <w:p>
      <w:pPr>
        <w:pStyle w:val="Heading2"/>
      </w:pPr>
      <w:r>
        <w:t xml:space="preserve">6. Assumptions</w:t>
      </w:r>
    </w:p>
    <w:p>
      <w:pPr>
        <w:pStyle w:val="Compact"/>
        <w:numPr>
          <w:ilvl w:val="0"/>
          <w:numId w:val="1003"/>
        </w:numPr>
      </w:pPr>
      <w:r>
        <w:t xml:space="preserve">Owners rate appetite, energy and sleep on a 1-5 scale, and we assume one owner’s</w:t>
      </w:r>
      <w:r>
        <w:t xml:space="preserve"> </w:t>
      </w:r>
      <w:r>
        <w:t xml:space="preserve">“3”</w:t>
      </w:r>
      <w:r>
        <w:t xml:space="preserve"> </w:t>
      </w:r>
      <w:r>
        <w:t xml:space="preserve">this week means the same as their</w:t>
      </w:r>
      <w:r>
        <w:t xml:space="preserve"> </w:t>
      </w:r>
      <w:r>
        <w:t xml:space="preserve">“3”</w:t>
      </w:r>
      <w:r>
        <w:t xml:space="preserve"> </w:t>
      </w:r>
      <w:r>
        <w:t xml:space="preserve">last week. 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assume one owner’s 3</w:t>
      </w:r>
      <w:r>
        <w:t xml:space="preserve"> </w:t>
      </w:r>
      <w:r>
        <w:t xml:space="preserve">means the same as another owner’s 3.</w:t>
      </w:r>
    </w:p>
    <w:p>
      <w:pPr>
        <w:pStyle w:val="Compact"/>
        <w:numPr>
          <w:ilvl w:val="0"/>
          <w:numId w:val="1003"/>
        </w:numPr>
      </w:pPr>
      <w:r>
        <w:t xml:space="preserve">Four or more recent check-ins are enough to establish what is normal for a pet.</w:t>
      </w:r>
    </w:p>
    <w:p>
      <w:pPr>
        <w:pStyle w:val="Compact"/>
        <w:numPr>
          <w:ilvl w:val="0"/>
          <w:numId w:val="1003"/>
        </w:numPr>
      </w:pPr>
      <w:r>
        <w:t xml:space="preserve">The importance shares, the 60-point figure for a total collapse, the band cut-offs and</w:t>
      </w:r>
      <w:r>
        <w:t xml:space="preserve"> </w:t>
      </w:r>
      <w:r>
        <w:t xml:space="preserve">the three-check-in look-back for</w:t>
      </w:r>
      <w:r>
        <w:t xml:space="preserve"> </w:t>
      </w:r>
      <w:r>
        <w:t xml:space="preserve">“repeated”</w:t>
      </w:r>
      <w:r>
        <w:t xml:space="preserve"> </w:t>
      </w:r>
      <w:r>
        <w:t xml:space="preserve">signs are all</w:t>
      </w:r>
      <w:r>
        <w:t xml:space="preserve"> </w:t>
      </w:r>
      <w:r>
        <w:rPr>
          <w:b/>
          <w:bCs/>
        </w:rPr>
        <w:t xml:space="preserve">numbers we picked</w:t>
      </w:r>
      <w:r>
        <w:t xml:space="preserve">, not</w:t>
      </w:r>
      <w:r>
        <w:t xml:space="preserve"> </w:t>
      </w:r>
      <w:r>
        <w:t xml:space="preserve">numbers derived from evidence. §8 exists to change them.</w:t>
      </w:r>
    </w:p>
    <w:p>
      <w:pPr>
        <w:pStyle w:val="Compact"/>
        <w:numPr>
          <w:ilvl w:val="0"/>
          <w:numId w:val="1003"/>
        </w:numPr>
      </w:pPr>
      <w:r>
        <w:t xml:space="preserve">How worried the owner says they are, and how consistently they check in, are treated as</w:t>
      </w:r>
      <w:r>
        <w:t xml:space="preserve"> </w:t>
      </w:r>
      <w:r>
        <w:t xml:space="preserve">engagement signals only -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as evidence about the pet’s health.</w:t>
      </w:r>
    </w:p>
    <w:bookmarkEnd w:id="19"/>
    <w:bookmarkStart w:id="20" w:name="limitations"/>
    <w:p>
      <w:pPr>
        <w:pStyle w:val="Heading2"/>
      </w:pPr>
      <w:r>
        <w:t xml:space="preserve">7. Limitations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clinically validated.</w:t>
      </w:r>
      <w:r>
        <w:t xml:space="preserve"> </w:t>
      </w:r>
      <w:r>
        <w:t xml:space="preserve">No threshold has veterinary sign-off.</w:t>
      </w:r>
    </w:p>
    <w:p>
      <w:pPr>
        <w:pStyle w:val="Compact"/>
        <w:numPr>
          <w:ilvl w:val="0"/>
          <w:numId w:val="1004"/>
        </w:numPr>
      </w:pPr>
      <w:r>
        <w:t xml:space="preserve">Synthetic data only; no real-world distribution, noise or sensor error is modelled.</w:t>
      </w:r>
    </w:p>
    <w:p>
      <w:pPr>
        <w:pStyle w:val="Compact"/>
        <w:numPr>
          <w:ilvl w:val="0"/>
          <w:numId w:val="1004"/>
        </w:numPr>
      </w:pPr>
      <w:r>
        <w:t xml:space="preserve">No age/species-specific baselines beyond the high-energy breed flag.</w:t>
      </w:r>
    </w:p>
    <w:p>
      <w:pPr>
        <w:pStyle w:val="Compact"/>
        <w:numPr>
          <w:ilvl w:val="0"/>
          <w:numId w:val="1004"/>
        </w:numPr>
      </w:pPr>
      <w:r>
        <w:t xml:space="preserve">Single-channel: it cannot detect anything the owner does not report.</w:t>
      </w:r>
    </w:p>
    <w:p>
      <w:pPr>
        <w:pStyle w:val="Compact"/>
        <w:numPr>
          <w:ilvl w:val="0"/>
          <w:numId w:val="1004"/>
        </w:numPr>
      </w:pPr>
      <w:r>
        <w:t xml:space="preserve">The 1-5 self-report scale is coarse and subjective between owners.</w:t>
      </w:r>
    </w:p>
    <w:bookmarkEnd w:id="20"/>
    <w:bookmarkStart w:id="23" w:name="open-questions-for-veterinary-review"/>
    <w:p>
      <w:pPr>
        <w:pStyle w:val="Heading2"/>
      </w:pPr>
      <w:r>
        <w:t xml:space="preserve">8. Open questions for veterinary review</w:t>
      </w:r>
    </w:p>
    <w:bookmarkStart w:id="21" w:name="general"/>
    <w:p>
      <w:pPr>
        <w:pStyle w:val="Heading3"/>
      </w:pPr>
      <w:r>
        <w:t xml:space="preserve">8.1 General</w:t>
      </w:r>
    </w:p>
    <w:p>
      <w:pPr>
        <w:pStyle w:val="Compact"/>
        <w:numPr>
          <w:ilvl w:val="0"/>
          <w:numId w:val="1005"/>
        </w:numPr>
      </w:pPr>
      <w:r>
        <w:t xml:space="preserve">Are the three escalation tiers and their trigger lists clinically appropriate and complete?</w:t>
      </w:r>
    </w:p>
    <w:p>
      <w:pPr>
        <w:pStyle w:val="Compact"/>
        <w:numPr>
          <w:ilvl w:val="0"/>
          <w:numId w:val="1005"/>
        </w:numPr>
      </w:pPr>
      <w:r>
        <w:t xml:space="preserve">Is</w:t>
      </w:r>
      <w:r>
        <w:t xml:space="preserve"> </w:t>
      </w:r>
      <w:r>
        <w:t xml:space="preserve">“≥4 check-ins”</w:t>
      </w:r>
      <w:r>
        <w:t xml:space="preserve"> </w:t>
      </w:r>
      <w:r>
        <w:t xml:space="preserve">a sensible minimum baseline, or should it vary by life stage?</w:t>
      </w:r>
    </w:p>
    <w:p>
      <w:pPr>
        <w:pStyle w:val="Compact"/>
        <w:numPr>
          <w:ilvl w:val="0"/>
          <w:numId w:val="1005"/>
        </w:numPr>
      </w:pPr>
      <w:r>
        <w:t xml:space="preserve">Are the band cut-offs (85/70/50) reasonable starting points?</w:t>
      </w:r>
    </w:p>
    <w:p>
      <w:pPr>
        <w:pStyle w:val="Compact"/>
        <w:numPr>
          <w:ilvl w:val="0"/>
          <w:numId w:val="1005"/>
        </w:numPr>
      </w:pPr>
      <w:r>
        <w:t xml:space="preserve">Should any</w:t>
      </w:r>
      <w:r>
        <w:t xml:space="preserve"> </w:t>
      </w:r>
      <w:r>
        <w:t xml:space="preserve">“monitor”</w:t>
      </w:r>
      <w:r>
        <w:t xml:space="preserve"> </w:t>
      </w:r>
      <w:r>
        <w:t xml:space="preserve">item (e.g. tick found, single vomiting) be escalated to urgent?</w:t>
      </w:r>
    </w:p>
    <w:p>
      <w:pPr>
        <w:pStyle w:val="Compact"/>
        <w:numPr>
          <w:ilvl w:val="0"/>
          <w:numId w:val="1005"/>
        </w:numPr>
      </w:pPr>
      <w:r>
        <w:t xml:space="preserve">Is the look-back window for</w:t>
      </w:r>
      <w:r>
        <w:t xml:space="preserve"> </w:t>
      </w:r>
      <w:r>
        <w:t xml:space="preserve">“repeated”</w:t>
      </w:r>
      <w:r>
        <w:t xml:space="preserve"> </w:t>
      </w:r>
      <w:r>
        <w:t xml:space="preserve">signs (thirst, vomiting, appetite loss) right?</w:t>
      </w:r>
    </w:p>
    <w:p>
      <w:pPr>
        <w:pStyle w:val="Compact"/>
        <w:numPr>
          <w:ilvl w:val="0"/>
          <w:numId w:val="1005"/>
        </w:numPr>
      </w:pPr>
      <w:r>
        <w:t xml:space="preserve">Is the non-diagnostic explanation wording safe and clear enough for owners?</w:t>
      </w:r>
    </w:p>
    <w:bookmarkEnd w:id="21"/>
    <w:bookmarkStart w:id="22" w:name="X16c4ac0320fa94322957087df2183117f9bbb32"/>
    <w:p>
      <w:pPr>
        <w:pStyle w:val="Heading3"/>
      </w:pPr>
      <w:r>
        <w:t xml:space="preserve">8.2 The weighting mechanic (focus of this review)</w:t>
      </w:r>
    </w:p>
    <w:p>
      <w:pPr>
        <w:pStyle w:val="FirstParagraph"/>
      </w:pPr>
      <w:r>
        <w:t xml:space="preserve">The score starts at 100 and only ever subtracts, and only for changes in the</w:t>
      </w:r>
      <w:r>
        <w:t xml:space="preserve"> </w:t>
      </w:r>
      <w:r>
        <w:rPr>
          <w:i/>
          <w:iCs/>
        </w:rPr>
        <w:t xml:space="preserve">downward</w:t>
      </w:r>
      <w:r>
        <w:t xml:space="preserve"> </w:t>
      </w:r>
      <w:r>
        <w:t xml:space="preserve">direction. Two things decide what a given change costs: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How much that indicator matters</w:t>
      </w:r>
      <w:r>
        <w:t xml:space="preserve"> </w:t>
      </w:r>
      <w:r>
        <w:t xml:space="preserve">relative to the other three, expressed as a share</w:t>
      </w:r>
      <w:r>
        <w:t xml:space="preserve"> </w:t>
      </w:r>
      <w:r>
        <w:t xml:space="preserve">of 100%.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How much a total collapse would cost</w:t>
      </w:r>
      <w:r>
        <w:t xml:space="preserve"> </w:t>
      </w:r>
      <w:r>
        <w:t xml:space="preserve">- set at 60 points, and shared out between</w:t>
      </w:r>
      <w:r>
        <w:t xml:space="preserve"> </w:t>
      </w:r>
      <w:r>
        <w:t xml:space="preserve">the four indicators according to (1).</w:t>
      </w:r>
    </w:p>
    <w:p>
      <w:pPr>
        <w:pStyle w:val="FirstParagraph"/>
      </w:pPr>
      <w:r>
        <w:t xml:space="preserve">The shares always add to 100% within a profile, which is what lets the two breed profiles</w:t>
      </w:r>
      <w:r>
        <w:t xml:space="preserve"> </w:t>
      </w:r>
      <w:r>
        <w:t xml:space="preserve">be compared to one another. This is the same calculation described step by step in §3</w:t>
      </w:r>
      <w:r>
        <w:t xml:space="preserve"> </w:t>
      </w:r>
      <w:r>
        <w:t xml:space="preserve">“How the score is worked out”</w:t>
      </w:r>
      <w:r>
        <w:t xml:space="preserve">; below it is restated as plain point costs.</w:t>
      </w:r>
    </w:p>
    <w:p>
      <w:pPr>
        <w:pStyle w:val="BodyText"/>
      </w:pPr>
      <w:r>
        <w:rPr>
          <w:b/>
          <w:bCs/>
        </w:rPr>
        <w:t xml:space="preserve">Current weights (provisional placeholders):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Normal breed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High-energy breed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Appetite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Sleep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</w:tr>
    </w:tbl>
    <w:p>
      <w:pPr>
        <w:pStyle w:val="BodyText"/>
      </w:pPr>
      <w:r>
        <w:t xml:space="preserve">Percentage shares are hard to judge clinically, so</w:t>
      </w:r>
      <w:r>
        <w:t xml:space="preserve"> </w:t>
      </w:r>
      <w:r>
        <w:rPr>
          <w:b/>
          <w:bCs/>
        </w:rPr>
        <w:t xml:space="preserve">this is the table to review</w:t>
      </w:r>
      <w:r>
        <w:t xml:space="preserve"> </w:t>
      </w:r>
      <w:r>
        <w:t xml:space="preserve">- the</w:t>
      </w:r>
      <w:r>
        <w:t xml:space="preserve"> </w:t>
      </w:r>
      <w:r>
        <w:t xml:space="preserve">same weights expressed as points removed from the 0-100 score. Nothing here needs working</w:t>
      </w:r>
      <w:r>
        <w:t xml:space="preserve"> </w:t>
      </w:r>
      <w:r>
        <w:t xml:space="preserve">out; the numbers are what an owner would actually see happen. Appetite, energy and sleep</w:t>
      </w:r>
      <w:r>
        <w:t xml:space="preserve"> </w:t>
      </w:r>
      <w:r>
        <w:t xml:space="preserve">are 1-5 scales, so</w:t>
      </w:r>
      <w:r>
        <w:t xml:space="preserve"> </w:t>
      </w:r>
      <w:r>
        <w:t xml:space="preserve">“down 1 point”</w:t>
      </w:r>
      <w:r>
        <w:t xml:space="preserve"> </w:t>
      </w:r>
      <w:r>
        <w:t xml:space="preserve">means something like 4→3. Activity is compared as a</w:t>
      </w:r>
      <w:r>
        <w:t xml:space="preserve"> </w:t>
      </w:r>
      <w:r>
        <w:t xml:space="preserve">percentage of the pet’s usual minutes.</w:t>
      </w:r>
    </w:p>
    <w:p>
      <w:pPr>
        <w:pStyle w:val="BodyText"/>
      </w:pPr>
      <w:r>
        <w:rPr>
          <w:i/>
          <w:iCs/>
        </w:rPr>
        <w:t xml:space="preserve">(These are the figures with no body-condition adjustment applied. A pet recorded as above</w:t>
      </w:r>
      <w:r>
        <w:rPr>
          <w:i/>
          <w:iCs/>
        </w:rPr>
        <w:t xml:space="preserve"> </w:t>
      </w:r>
      <w:r>
        <w:rPr>
          <w:i/>
          <w:iCs/>
        </w:rPr>
        <w:t xml:space="preserve">or below their breed’s healthy weight range shifts the shares somewhat - 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PawHealthAI_Vitality_Score.md</w:t>
      </w:r>
      <w:r>
        <w:rPr>
          <w:i/>
          <w:iCs/>
        </w:rPr>
        <w:t xml:space="preserve"> </w:t>
      </w:r>
      <w:r>
        <w:rPr>
          <w:i/>
          <w:iCs/>
        </w:rPr>
        <w:t xml:space="preserve">§6, which the weight subsystem added after this table was</w:t>
      </w:r>
      <w:r>
        <w:rPr>
          <w:i/>
          <w:iCs/>
        </w:rPr>
        <w:t xml:space="preserve"> </w:t>
      </w:r>
      <w:r>
        <w:rPr>
          <w:i/>
          <w:iCs/>
        </w:rPr>
        <w:t xml:space="preserve">written.)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Normal breed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High-energy breed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Appetite down 1 point (e.g. 4→3)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Energy down 1 point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Sleep quality down 1 point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Activity down 50% vs baseline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−13.5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Activity down 100% vs baseline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Two or more indicators down together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−12 flat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−12 flat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Worming treatment overdue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−8</w:t>
            </w:r>
          </w:p>
        </w:tc>
      </w:tr>
    </w:tbl>
    <w:p>
      <w:pPr>
        <w:pStyle w:val="BodyText"/>
      </w:pPr>
      <w:r>
        <w:t xml:space="preserve">So, for a normal-breed pet, a single one-point appetite dip lands the score at 82</w:t>
      </w:r>
      <w:r>
        <w:t xml:space="preserve"> </w:t>
      </w:r>
      <w:r>
        <w:t xml:space="preserve">(Medium Green); appetite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energy both dropping a point lands it at 100−18−18−12 =</w:t>
      </w:r>
      <w:r>
        <w:t xml:space="preserve"> </w:t>
      </w:r>
      <w:r>
        <w:t xml:space="preserve">52 (bottom of Watch). For a high-energy breed the same two-point wellbeing drop is</w:t>
      </w:r>
      <w:r>
        <w:t xml:space="preserve"> </w:t>
      </w:r>
      <w:r>
        <w:t xml:space="preserve">softened, but a halving of activity is penalised far more heavily.</w:t>
      </w:r>
    </w:p>
    <w:p>
      <w:pPr>
        <w:pStyle w:val="BodyText"/>
      </w:pPr>
      <w:r>
        <w:rPr>
          <w:b/>
          <w:bCs/>
        </w:rPr>
        <w:t xml:space="preserve">Questions for the reviewing vet: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Relative ordering.</w:t>
      </w:r>
      <w:r>
        <w:t xml:space="preserve"> </w:t>
      </w:r>
      <w:r>
        <w:t xml:space="preserve">For a typical adult dog, is</w:t>
      </w:r>
      <w:r>
        <w:t xml:space="preserve"> </w:t>
      </w:r>
      <w:r>
        <w:rPr>
          <w:i/>
          <w:iCs/>
        </w:rPr>
        <w:t xml:space="preserve">appetite ≈ energy &gt; sleep ≈</w:t>
      </w:r>
      <w:r>
        <w:rPr>
          <w:i/>
          <w:iCs/>
        </w:rPr>
        <w:t xml:space="preserve"> </w:t>
      </w:r>
      <w:r>
        <w:rPr>
          <w:i/>
          <w:iCs/>
        </w:rPr>
        <w:t xml:space="preserve">activity</w:t>
      </w:r>
      <w:r>
        <w:t xml:space="preserve"> </w:t>
      </w:r>
      <w:r>
        <w:t xml:space="preserve">the right priority? Should appetite outrank energy (or vice-versa) rather</w:t>
      </w:r>
      <w:r>
        <w:t xml:space="preserve"> </w:t>
      </w:r>
      <w:r>
        <w:t xml:space="preserve">than being equal?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Breed-aware activity.</w:t>
      </w:r>
      <w:r>
        <w:t xml:space="preserve"> </w:t>
      </w:r>
      <w:r>
        <w:t xml:space="preserve">Is weighting activity 0.45 (vs 0.20) for high-energy breeds</w:t>
      </w:r>
      <w:r>
        <w:t xml:space="preserve"> </w:t>
      </w:r>
      <w:r>
        <w:t xml:space="preserve">clinically justified, 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breeds should qualify? Should this be driven by</w:t>
      </w:r>
      <w:r>
        <w:t xml:space="preserve"> </w:t>
      </w:r>
      <w:r>
        <w:t xml:space="preserve">breed, by life stage, or by an owner-declared activity norm instead of a single flag?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Magnitude 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 = 60</w:t>
      </w:r>
      <w:r>
        <w:rPr>
          <w:b/>
          <w:bCs/>
        </w:rPr>
        <w:t xml:space="preserve">.</w:t>
      </w:r>
      <w:r>
        <w:t xml:space="preserve"> </w:t>
      </w:r>
      <w:r>
        <w:t xml:space="preserve">A one-point appetite drop removing ~18 of 100 points — is</w:t>
      </w:r>
      <w:r>
        <w:t xml:space="preserve"> </w:t>
      </w:r>
      <w:r>
        <w:t xml:space="preserve">that clinically proportionate, too harsh, or too soft? Where should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indicator drop leave a pet: Medium Green or Watch?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Signal vs noise.</w:t>
      </w:r>
      <w:r>
        <w:t xml:space="preserve"> </w:t>
      </w:r>
      <w:r>
        <w:t xml:space="preserve">Is a flat −12 when ≥2 indicators fall together the right way to</w:t>
      </w:r>
      <w:r>
        <w:t xml:space="preserve"> </w:t>
      </w:r>
      <w:r>
        <w:t xml:space="preserve">model a genuine</w:t>
      </w:r>
      <w:r>
        <w:t xml:space="preserve"> </w:t>
      </w:r>
      <w:r>
        <w:t xml:space="preserve">“signal,”</w:t>
      </w:r>
      <w:r>
        <w:t xml:space="preserve"> </w:t>
      </w:r>
      <w:r>
        <w:t xml:space="preserve">and is 2 the correct trigger count? Should some pairings</w:t>
      </w:r>
      <w:r>
        <w:t xml:space="preserve"> </w:t>
      </w:r>
      <w:r>
        <w:t xml:space="preserve">(appetite + energy) weigh more than others (sleep + activity)?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Species profile.</w:t>
      </w:r>
      <w:r>
        <w:t xml:space="preserve"> </w:t>
      </w:r>
      <w:r>
        <w:t xml:space="preserve">Cats currently use the normal-breed profile. Should cats have</w:t>
      </w:r>
      <w:r>
        <w:t xml:space="preserve"> </w:t>
      </w:r>
      <w:r>
        <w:t xml:space="preserve">their own weighting (sleep is naturally high and variable, activity is harder for</w:t>
      </w:r>
      <w:r>
        <w:t xml:space="preserve"> </w:t>
      </w:r>
      <w:r>
        <w:t xml:space="preserve">owners to observe)?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Life stage.</w:t>
      </w:r>
      <w:r>
        <w:t xml:space="preserve"> </w:t>
      </w:r>
      <w:r>
        <w:t xml:space="preserve">Should puppies (variable sleep) and seniors (expected gradual activity</w:t>
      </w:r>
      <w:r>
        <w:t xml:space="preserve"> </w:t>
      </w:r>
      <w:r>
        <w:t xml:space="preserve">decline) use different weights rather than the two breed profiles alone?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Sensitivity thresholds.</w:t>
      </w:r>
      <w:r>
        <w:t xml:space="preserve"> </w:t>
      </w:r>
      <w:r>
        <w:t xml:space="preserve">A change only counts as a</w:t>
      </w:r>
      <w:r>
        <w:t xml:space="preserve"> </w:t>
      </w:r>
      <w:r>
        <w:t xml:space="preserve">“drop”</w:t>
      </w:r>
      <w:r>
        <w:t xml:space="preserve"> </w:t>
      </w:r>
      <w:r>
        <w:t xml:space="preserve">at ≥1 point (1-5 scale)</w:t>
      </w:r>
      <w:r>
        <w:t xml:space="preserve"> </w:t>
      </w:r>
      <w:r>
        <w:t xml:space="preserve">or ≥25% for activity. Are those the right thresholds, or should smaller changes count?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Care-compliance nudge.</w:t>
      </w:r>
      <w:r>
        <w:t xml:space="preserve"> </w:t>
      </w:r>
      <w:r>
        <w:t xml:space="preserve">Folding an overdue-worming penalty (−8) into a</w:t>
      </w:r>
      <w:r>
        <w:t xml:space="preserve"> </w:t>
      </w:r>
      <w:r>
        <w:rPr>
          <w:i/>
          <w:iCs/>
        </w:rPr>
        <w:t xml:space="preserve">wellbeing</w:t>
      </w:r>
      <w:r>
        <w:t xml:space="preserve"> </w:t>
      </w:r>
      <w:r>
        <w:t xml:space="preserve">score — is that appropriate, or should care compliance be surfaced separately and kept</w:t>
      </w:r>
      <w:r>
        <w:t xml:space="preserve"> </w:t>
      </w:r>
      <w:r>
        <w:t xml:space="preserve">out of the health trend entirely?</w:t>
      </w:r>
    </w:p>
    <w:bookmarkEnd w:id="22"/>
    <w:bookmarkEnd w:id="23"/>
    <w:bookmarkStart w:id="24" w:name="out-of-scope"/>
    <w:p>
      <w:pPr>
        <w:pStyle w:val="Heading2"/>
      </w:pPr>
      <w:r>
        <w:t xml:space="preserve">9. Out of scope</w:t>
      </w:r>
    </w:p>
    <w:p>
      <w:pPr>
        <w:pStyle w:val="FirstParagraph"/>
      </w:pPr>
      <w:r>
        <w:t xml:space="preserve">Machine learning, real user data, production app screens, changes to live PawHealthAI</w:t>
      </w:r>
      <w:r>
        <w:t xml:space="preserve"> </w:t>
      </w:r>
      <w:r>
        <w:t xml:space="preserve">behaviour, and final clinical rules - all out of scope until veterinary review is complete.</w:t>
      </w:r>
    </w:p>
    <w:bookmarkEnd w:id="24"/>
    <w:bookmarkStart w:id="30" w:name="references"/>
    <w:p>
      <w:pPr>
        <w:pStyle w:val="Heading2"/>
      </w:pPr>
      <w:r>
        <w:t xml:space="preserve">10. References</w:t>
      </w:r>
    </w:p>
    <w:p>
      <w:pPr>
        <w:pStyle w:val="FirstParagraph"/>
      </w:pPr>
      <w:r>
        <w:rPr>
          <w:b/>
          <w:bCs/>
        </w:rPr>
        <w:t xml:space="preserve">How to read this list.</w:t>
      </w:r>
      <w:r>
        <w:t xml:space="preserve"> </w:t>
      </w:r>
      <w:r>
        <w:t xml:space="preserve">These references establish that the engine’s</w:t>
      </w:r>
      <w:r>
        <w:t xml:space="preserve"> </w:t>
      </w:r>
      <w:r>
        <w:rPr>
          <w:i/>
          <w:iCs/>
        </w:rPr>
        <w:t xml:space="preserve">approach</w:t>
      </w:r>
      <w:r>
        <w:t xml:space="preserve"> </w:t>
      </w:r>
      <w:r>
        <w:t xml:space="preserve">is a</w:t>
      </w:r>
      <w:r>
        <w:t xml:space="preserve"> </w:t>
      </w:r>
      <w:r>
        <w:t xml:space="preserve">recognised one and that its thresholds sit in a plausible range. 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</w:t>
      </w:r>
      <w:r>
        <w:t xml:space="preserve"> </w:t>
      </w:r>
      <w:r>
        <w:t xml:space="preserve">derivation of the numbers. Every constant in this report - the 0-100 scale, the band</w:t>
      </w:r>
      <w:r>
        <w:t xml:space="preserve"> </w:t>
      </w:r>
      <w:r>
        <w:t xml:space="preserve">cut-offs at 85/70/50, the</w:t>
      </w:r>
      <w:r>
        <w:t xml:space="preserve"> </w:t>
      </w:r>
      <w:r>
        <w:rPr>
          <w:rStyle w:val="VerbatimChar"/>
        </w:rPr>
        <w:t xml:space="preserve">DEVIATION_WEIGHT</w:t>
      </w:r>
      <w:r>
        <w:t xml:space="preserve"> </w:t>
      </w:r>
      <w:r>
        <w:t xml:space="preserve">of 60, the weighting profiles in §8.2, the</w:t>
      </w:r>
      <w:r>
        <w:t xml:space="preserve"> </w:t>
      </w:r>
      <w:r>
        <w:t xml:space="preserve">-8 worming nudge, the -12 compound deduction - is an engineering placeholder chosen for</w:t>
      </w:r>
      <w:r>
        <w:t xml:space="preserve"> </w:t>
      </w:r>
      <w:r>
        <w:t xml:space="preserve">v0.2. Where the literature and a constant disagree, the literature wins and the constant</w:t>
      </w:r>
      <w:r>
        <w:t xml:space="preserve"> </w:t>
      </w:r>
      <w:r>
        <w:t xml:space="preserve">should change. That is the point of §8.</w:t>
      </w:r>
    </w:p>
    <w:p>
      <w:pPr>
        <w:pStyle w:val="BodyText"/>
      </w:pPr>
      <w:r>
        <w:rPr>
          <w:b/>
          <w:bCs/>
        </w:rPr>
        <w:t xml:space="preserve">Scope note.</w:t>
      </w:r>
      <w:r>
        <w:t xml:space="preserve"> </w:t>
      </w:r>
      <w:r>
        <w:t xml:space="preserve">Sections 1-9 above document the engine as it stood before the weight</w:t>
      </w:r>
      <w:r>
        <w:t xml:space="preserve"> </w:t>
      </w:r>
      <w:r>
        <w:t xml:space="preserve">subsystem (</w:t>
      </w:r>
      <w:r>
        <w:rPr>
          <w:rStyle w:val="VerbatimChar"/>
        </w:rPr>
        <w:t xml:space="preserve">phavit/weight.py</w:t>
      </w:r>
      <w:r>
        <w:t xml:space="preserve">) was added. References [3]-[8] cover that later work, which</w:t>
      </w:r>
      <w:r>
        <w:t xml:space="preserve"> </w:t>
      </w:r>
      <w:r>
        <w:t xml:space="preserve">is currently documented in</w:t>
      </w:r>
      <w:r>
        <w:t xml:space="preserve"> </w:t>
      </w:r>
      <w:r>
        <w:rPr>
          <w:rStyle w:val="VerbatimChar"/>
        </w:rPr>
        <w:t xml:space="preserve">PawHealthAI_Vitality_Score.md</w:t>
      </w:r>
      <w:r>
        <w:t xml:space="preserve"> </w:t>
      </w:r>
      <w:r>
        <w:t xml:space="preserve">rather than here. Bringing this</w:t>
      </w:r>
      <w:r>
        <w:t xml:space="preserve"> </w:t>
      </w:r>
      <w:r>
        <w:t xml:space="preserve">report up to date is outstanding - see the note at the end of this section.</w:t>
      </w:r>
    </w:p>
    <w:bookmarkStart w:id="25" w:name="scoring-architecture"/>
    <w:p>
      <w:pPr>
        <w:pStyle w:val="Heading3"/>
      </w:pPr>
      <w:r>
        <w:t xml:space="preserve">Scoring architecture</w:t>
      </w:r>
    </w:p>
    <w:p>
      <w:pPr>
        <w:pStyle w:val="FirstParagraph"/>
      </w:pPr>
      <w:r>
        <w:rPr>
          <w:b/>
          <w:bCs/>
        </w:rPr>
        <w:t xml:space="preserve">[1]</w:t>
      </w:r>
      <w:r>
        <w:t xml:space="preserve"> </w:t>
      </w:r>
      <w:r>
        <w:t xml:space="preserve">Royal College of Physicians (2017).</w:t>
      </w:r>
      <w:r>
        <w:t xml:space="preserve"> </w:t>
      </w:r>
      <w:r>
        <w:rPr>
          <w:i/>
          <w:iCs/>
        </w:rPr>
        <w:t xml:space="preserve">National Early Warning Score (NEWS) 2:</w:t>
      </w:r>
      <w:r>
        <w:rPr>
          <w:i/>
          <w:iCs/>
        </w:rPr>
        <w:t xml:space="preserve"> </w:t>
      </w:r>
      <w:r>
        <w:rPr>
          <w:i/>
          <w:iCs/>
        </w:rPr>
        <w:t xml:space="preserve">Standardising the assessment of acute-illness severity in the NHS.</w:t>
      </w:r>
      <w:r>
        <w:t xml:space="preserve"> </w:t>
      </w:r>
      <w:r>
        <w:t xml:space="preserve">Updated report of a</w:t>
      </w:r>
      <w:r>
        <w:t xml:space="preserve"> </w:t>
      </w:r>
      <w:r>
        <w:t xml:space="preserve">working party. London: RCP.</w:t>
      </w:r>
      <w:r>
        <w:t xml:space="preserve"> </w:t>
      </w:r>
      <w:r>
        <w:t xml:space="preserve">https://www.rcp.ac.uk/media/a4ibkkbf/news2-final-report_0_0.pdf</w:t>
      </w:r>
    </w:p>
    <w:p>
      <w:pPr>
        <w:pStyle w:val="BlockText"/>
      </w:pPr>
      <w:r>
        <w:rPr>
          <w:i/>
          <w:iCs/>
        </w:rPr>
        <w:t xml:space="preserve">Supports §3.</w:t>
      </w:r>
      <w:r>
        <w:t xml:space="preserve"> </w:t>
      </w:r>
      <w:r>
        <w:t xml:space="preserve">NEWS2 aggregates weighted parameters into a single number, sorts it into</w:t>
      </w:r>
      <w:r>
        <w:t xml:space="preserve"> </w:t>
      </w:r>
      <w:r>
        <w:t xml:space="preserve">banded escalation tiers, and lets a clinical trigger override the aggregate. That is the</w:t>
      </w:r>
      <w:r>
        <w:t xml:space="preserve"> </w:t>
      </w:r>
      <w:r>
        <w:t xml:space="preserve">same three-layer structure described in §3, and it is the established precedent for the</w:t>
      </w:r>
      <w:r>
        <w:t xml:space="preserve"> </w:t>
      </w:r>
      <w:r>
        <w:t xml:space="preserve">design decision in §3</w:t>
      </w:r>
      <w:r>
        <w:t xml:space="preserve"> </w:t>
      </w:r>
      <w:r>
        <w:t xml:space="preserve">“Layer 2”</w:t>
      </w:r>
      <w:r>
        <w:t xml:space="preserve"> </w:t>
      </w:r>
      <w:r>
        <w:t xml:space="preserve">that an override must</w:t>
      </w:r>
      <w:r>
        <w:t xml:space="preserve"> </w:t>
      </w:r>
      <w:r>
        <w:rPr>
          <w:b/>
          <w:bCs/>
        </w:rPr>
        <w:t xml:space="preserve">bypass</w:t>
      </w:r>
      <w:r>
        <w:t xml:space="preserve"> </w:t>
      </w:r>
      <w:r>
        <w:t xml:space="preserve">the score rather than be</w:t>
      </w:r>
      <w:r>
        <w:t xml:space="preserve"> </w:t>
      </w:r>
      <w:r>
        <w:t xml:space="preserve">folded into it as a deduction.</w:t>
      </w:r>
    </w:p>
    <w:p>
      <w:pPr>
        <w:pStyle w:val="FirstParagraph"/>
      </w:pPr>
      <w:r>
        <w:rPr>
          <w:b/>
          <w:bCs/>
        </w:rPr>
        <w:t xml:space="preserve">[2]</w:t>
      </w:r>
      <w:r>
        <w:t xml:space="preserve"> </w:t>
      </w:r>
      <w:r>
        <w:t xml:space="preserve">Reid, J., Wiseman-Orr, L. and Scott, M. (2020). Development of an early warning</w:t>
      </w:r>
      <w:r>
        <w:t xml:space="preserve"> </w:t>
      </w:r>
      <w:r>
        <w:t xml:space="preserve">system for owners using a validated health-related quality of life (HRQL) instrument for</w:t>
      </w:r>
      <w:r>
        <w:t xml:space="preserve"> </w:t>
      </w:r>
      <w:r>
        <w:t xml:space="preserve">companion animals and its use in a large cohort of dogs.</w:t>
      </w:r>
      <w:r>
        <w:t xml:space="preserve"> </w:t>
      </w:r>
      <w:r>
        <w:rPr>
          <w:i/>
          <w:iCs/>
        </w:rPr>
        <w:t xml:space="preserve">Journal of Small Animal</w:t>
      </w:r>
      <w:r>
        <w:rPr>
          <w:i/>
          <w:iCs/>
        </w:rPr>
        <w:t xml:space="preserve"> </w:t>
      </w:r>
      <w:r>
        <w:rPr>
          <w:i/>
          <w:iCs/>
        </w:rPr>
        <w:t xml:space="preserve">Practice</w:t>
      </w:r>
      <w:r>
        <w:t xml:space="preserve">. https://pmc.ncbi.nlm.nih.gov/articles/PMC7541963/</w:t>
      </w:r>
    </w:p>
    <w:p>
      <w:pPr>
        <w:pStyle w:val="BlockText"/>
      </w:pPr>
      <w:r>
        <w:rPr>
          <w:i/>
          <w:iCs/>
        </w:rPr>
        <w:t xml:space="preserve">Supports §3 Layer 1, §4.</w:t>
      </w:r>
      <w:r>
        <w:t xml:space="preserve"> </w:t>
      </w:r>
      <w:r>
        <w:t xml:space="preserve">The nearest published analogue to this engine: an</w:t>
      </w:r>
      <w:r>
        <w:t xml:space="preserve"> </w:t>
      </w:r>
      <w:r>
        <w:t xml:space="preserve">owner-completed, psychometrically validated instrument scoring four behavioural domains</w:t>
      </w:r>
      <w:r>
        <w:t xml:space="preserve"> </w:t>
      </w:r>
      <w:r>
        <w:t xml:space="preserve">(energy, happiness, activity, calmness) closely comparable to the check-in’s appetite,</w:t>
      </w:r>
      <w:r>
        <w:t xml:space="preserve"> </w:t>
      </w:r>
      <w:r>
        <w:t xml:space="preserve">energy, sleep and activity, used as an early-warning system across a large cohort. The</w:t>
      </w:r>
      <w:r>
        <w:t xml:space="preserve"> </w:t>
      </w:r>
      <w:r>
        <w:t xml:space="preserve">basis for treating owner-reported domains tracked against the animal’s own history as</w:t>
      </w:r>
      <w:r>
        <w:t xml:space="preserve"> </w:t>
      </w:r>
      <w:r>
        <w:t xml:space="preserve">carrying real signal, and for framing the output as wellbeing tracking rather than</w:t>
      </w:r>
      <w:r>
        <w:t xml:space="preserve"> </w:t>
      </w:r>
      <w:r>
        <w:t xml:space="preserve">diagnosis (§3</w:t>
      </w:r>
      <w:r>
        <w:t xml:space="preserve"> </w:t>
      </w:r>
      <w:r>
        <w:t xml:space="preserve">“Removal of diagnostic outputs”</w:t>
      </w:r>
      <w:r>
        <w:t xml:space="preserve">).</w:t>
      </w:r>
    </w:p>
    <w:bookmarkEnd w:id="25"/>
    <w:bookmarkStart w:id="26" w:name="body-condition"/>
    <w:p>
      <w:pPr>
        <w:pStyle w:val="Heading3"/>
      </w:pPr>
      <w:r>
        <w:t xml:space="preserve">Body condition</w:t>
      </w:r>
    </w:p>
    <w:p>
      <w:pPr>
        <w:pStyle w:val="FirstParagraph"/>
      </w:pPr>
      <w:r>
        <w:rPr>
          <w:b/>
          <w:bCs/>
        </w:rPr>
        <w:t xml:space="preserve">[3]</w:t>
      </w:r>
      <w:r>
        <w:t xml:space="preserve"> </w:t>
      </w:r>
      <w:r>
        <w:t xml:space="preserve">Laflamme, D. P. (1997). Development and validation of a body condition score</w:t>
      </w:r>
      <w:r>
        <w:t xml:space="preserve"> </w:t>
      </w:r>
      <w:r>
        <w:t xml:space="preserve">system for dogs.</w:t>
      </w:r>
      <w:r>
        <w:t xml:space="preserve"> </w:t>
      </w:r>
      <w:r>
        <w:rPr>
          <w:i/>
          <w:iCs/>
        </w:rPr>
        <w:t xml:space="preserve">Canine Practice</w:t>
      </w:r>
      <w:r>
        <w:t xml:space="preserve">, 22(4), 10-15.</w:t>
      </w:r>
      <w:r>
        <w:t xml:space="preserve"> </w:t>
      </w:r>
      <w:r>
        <w:rPr>
          <w:i/>
          <w:iCs/>
        </w:rPr>
        <w:t xml:space="preserve">(Companion paper for cats: Laflamme,</w:t>
      </w:r>
      <w:r>
        <w:rPr>
          <w:i/>
          <w:iCs/>
        </w:rPr>
        <w:t xml:space="preserve"> </w:t>
      </w:r>
      <w:r>
        <w:rPr>
          <w:i/>
          <w:iCs/>
        </w:rPr>
        <w:t xml:space="preserve">D. P. (1997). Development and validation of a body condition score system for cats: a</w:t>
      </w:r>
      <w:r>
        <w:rPr>
          <w:i/>
          <w:iCs/>
        </w:rPr>
        <w:t xml:space="preserve"> </w:t>
      </w:r>
      <w:r>
        <w:rPr>
          <w:i/>
          <w:iCs/>
        </w:rPr>
        <w:t xml:space="preserve">clinical tool. Feline Practice, 25(5-6), 13-18.)</w:t>
      </w:r>
    </w:p>
    <w:p>
      <w:pPr>
        <w:pStyle w:val="BlockText"/>
      </w:pPr>
      <w:r>
        <w:rPr>
          <w:i/>
          <w:iCs/>
        </w:rPr>
        <w:t xml:space="preserve">Supports:</w:t>
      </w:r>
      <w:r>
        <w:t xml:space="preserve"> </w:t>
      </w:r>
      <w:r>
        <w:t xml:space="preserve">the 9-point BCS scale as the validated clinical measure of body condition,</w:t>
      </w:r>
      <w:r>
        <w:t xml:space="preserve"> </w:t>
      </w:r>
      <w:r>
        <w:t xml:space="preserve">shown to be repeatable both within and between scorers.</w:t>
      </w:r>
    </w:p>
    <w:p>
      <w:pPr>
        <w:pStyle w:val="FirstParagraph"/>
      </w:pPr>
      <w:r>
        <w:rPr>
          <w:b/>
          <w:bCs/>
        </w:rPr>
        <w:t xml:space="preserve">[4]</w:t>
      </w:r>
      <w:r>
        <w:t xml:space="preserve"> </w:t>
      </w:r>
      <w:r>
        <w:t xml:space="preserve">World Small Animal Veterinary Association, Global Nutrition Committee.</w:t>
      </w:r>
      <w:r>
        <w:t xml:space="preserve"> </w:t>
      </w:r>
      <w:r>
        <w:rPr>
          <w:i/>
          <w:iCs/>
        </w:rPr>
        <w:t xml:space="preserve">WSAVA Global Nutrition Toolkit.</w:t>
      </w:r>
      <w:r>
        <w:t xml:space="preserve"> </w:t>
      </w:r>
      <w:r>
        <w:t xml:space="preserve">https://wsava.org/wp-content/uploads/2021/04/WSAVA-Global-Nutrition-Toolkit-English.pdf</w:t>
      </w:r>
    </w:p>
    <w:p>
      <w:pPr>
        <w:pStyle w:val="BlockText"/>
      </w:pPr>
      <w:r>
        <w:rPr>
          <w:i/>
          <w:iCs/>
        </w:rPr>
        <w:t xml:space="preserve">Supports:</w:t>
      </w:r>
      <w:r>
        <w:t xml:space="preserve"> </w:t>
      </w:r>
      <w:r>
        <w:t xml:space="preserve">BCS as the international standard (4-5/9 ideal for dogs, 5/9 for cats).</w:t>
      </w:r>
      <w:r>
        <w:t xml:space="preserve"> </w:t>
      </w:r>
      <w:r>
        <w:rPr>
          <w:b/>
          <w:bCs/>
        </w:rPr>
        <w:t xml:space="preserve">This is the reference the breed weight table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weight.py</w:t>
      </w:r>
      <w:r>
        <w:rPr>
          <w:b/>
          <w:bCs/>
        </w:rPr>
        <w:t xml:space="preserve"> </w:t>
      </w:r>
      <w:r>
        <w:rPr>
          <w:b/>
          <w:bCs/>
        </w:rPr>
        <w:t xml:space="preserve">is a stand-in for.</w:t>
      </w:r>
      <w:r>
        <w:t xml:space="preserve"> </w:t>
      </w:r>
      <w:r>
        <w:t xml:space="preserve">Where</w:t>
      </w:r>
      <w:r>
        <w:t xml:space="preserve"> </w:t>
      </w:r>
      <w:r>
        <w:t xml:space="preserve">an owner- or vet-recorded BCS exists it should supersede the table entirely: BCS measures</w:t>
      </w:r>
      <w:r>
        <w:t xml:space="preserve"> </w:t>
      </w:r>
      <w:r>
        <w:t xml:space="preserve">body condition directly, while a weight range only infers it from frame.</w:t>
      </w:r>
    </w:p>
    <w:p>
      <w:pPr>
        <w:pStyle w:val="FirstParagraph"/>
      </w:pPr>
      <w:r>
        <w:rPr>
          <w:b/>
          <w:bCs/>
        </w:rPr>
        <w:t xml:space="preserve">[5]</w:t>
      </w:r>
      <w:r>
        <w:t xml:space="preserve"> </w:t>
      </w:r>
      <w:r>
        <w:t xml:space="preserve">German, A. J. (2018). Dangerous trends in pet obesity.</w:t>
      </w:r>
      <w:r>
        <w:t xml:space="preserve"> </w:t>
      </w:r>
      <w:r>
        <w:rPr>
          <w:i/>
          <w:iCs/>
        </w:rPr>
        <w:t xml:space="preserve">Veterinary Record</w:t>
      </w:r>
      <w:r>
        <w:t xml:space="preserve">,</w:t>
      </w:r>
      <w:r>
        <w:t xml:space="preserve"> </w:t>
      </w:r>
      <w:r>
        <w:t xml:space="preserve">182(1), 25. https://bvajournals.onlinelibrary.wiley.com/doi/10.1136/vr.k2</w:t>
      </w:r>
    </w:p>
    <w:p>
      <w:pPr>
        <w:pStyle w:val="BlockText"/>
      </w:pPr>
      <w:r>
        <w:rPr>
          <w:i/>
          <w:iCs/>
        </w:rPr>
        <w:t xml:space="preserve">Supports:</w:t>
      </w:r>
      <w:r>
        <w:t xml:space="preserve"> </w:t>
      </w:r>
      <w:r>
        <w:t xml:space="preserve">the scale of overweight in the pet population - body-condition surveys of UK</w:t>
      </w:r>
      <w:r>
        <w:t xml:space="preserve"> </w:t>
      </w:r>
      <w:r>
        <w:t xml:space="preserve">dogs put 56-65% in the overweight range - and therefore why a breed reference must be</w:t>
      </w:r>
      <w:r>
        <w:t xml:space="preserve"> </w:t>
      </w:r>
      <w:r>
        <w:t xml:space="preserve">built from breed standards rather than from what pets actually weigh.</w:t>
      </w:r>
    </w:p>
    <w:p>
      <w:pPr>
        <w:pStyle w:val="FirstParagraph"/>
      </w:pPr>
      <w:r>
        <w:rPr>
          <w:b/>
          <w:bCs/>
        </w:rPr>
        <w:t xml:space="preserve">[6]</w:t>
      </w:r>
      <w:r>
        <w:t xml:space="preserve"> </w:t>
      </w:r>
      <w:r>
        <w:t xml:space="preserve">Pegram, C., et al. (2021). Frequency, breed predisposition and demographic risk</w:t>
      </w:r>
      <w:r>
        <w:t xml:space="preserve"> </w:t>
      </w:r>
      <w:r>
        <w:t xml:space="preserve">factors for overweight status in dogs in the UK.</w:t>
      </w:r>
      <w:r>
        <w:t xml:space="preserve"> </w:t>
      </w:r>
      <w:r>
        <w:rPr>
          <w:i/>
          <w:iCs/>
        </w:rPr>
        <w:t xml:space="preserve">Journal of Small Animal Practice</w:t>
      </w:r>
      <w:r>
        <w:t xml:space="preserve">,</w:t>
      </w:r>
      <w:r>
        <w:t xml:space="preserve"> </w:t>
      </w:r>
      <w:r>
        <w:t xml:space="preserve">62(7). VetCompass Programme, Royal Veterinary College.</w:t>
      </w:r>
      <w:r>
        <w:t xml:space="preserve"> </w:t>
      </w:r>
      <w:r>
        <w:t xml:space="preserve">https://onlinelibrary.wiley.com/doi/10.1111/jsap.13325</w:t>
      </w:r>
    </w:p>
    <w:p>
      <w:pPr>
        <w:pStyle w:val="BlockText"/>
      </w:pPr>
      <w:r>
        <w:rPr>
          <w:i/>
          <w:iCs/>
        </w:rPr>
        <w:t xml:space="preserve">Supports:</w:t>
      </w:r>
      <w:r>
        <w:t xml:space="preserve"> </w:t>
      </w:r>
      <w:r>
        <w:t xml:space="preserve">breed-level variation in overweight risk, and hence holding the reference per</w:t>
      </w:r>
      <w:r>
        <w:t xml:space="preserve"> </w:t>
      </w:r>
      <w:r>
        <w:t xml:space="preserve">breed rather than per species.</w:t>
      </w:r>
      <w:r>
        <w:t xml:space="preserve"> </w:t>
      </w:r>
      <w:r>
        <w:rPr>
          <w:b/>
          <w:bCs/>
        </w:rPr>
        <w:t xml:space="preserve">Read with care:</w:t>
      </w:r>
      <w:r>
        <w:t xml:space="preserve"> </w:t>
      </w:r>
      <w:r>
        <w:t xml:space="preserve">this measures overweight status</w:t>
      </w:r>
      <w:r>
        <w:t xml:space="preserve"> </w:t>
      </w:r>
      <w:r>
        <w:rPr>
          <w:i/>
          <w:iCs/>
        </w:rPr>
        <w:t xml:space="preserve">recorded by a vet in clinical notes</w:t>
      </w:r>
      <w:r>
        <w:t xml:space="preserve"> </w:t>
      </w:r>
      <w:r>
        <w:t xml:space="preserve">(~5.7% annual period prevalence), far below the</w:t>
      </w:r>
      <w:r>
        <w:t xml:space="preserve"> </w:t>
      </w:r>
      <w:r>
        <w:t xml:space="preserve">56-65% found by direct body-condition assessment [5]. The RVC describes the recorded</w:t>
      </w:r>
      <w:r>
        <w:t xml:space="preserve"> </w:t>
      </w:r>
      <w:r>
        <w:t xml:space="preserve">figure as</w:t>
      </w:r>
      <w:r>
        <w:t xml:space="preserve"> </w:t>
      </w:r>
      <w:r>
        <w:t xml:space="preserve">“the tip of the iceberg.”</w:t>
      </w:r>
      <w:r>
        <w:t xml:space="preserve"> </w:t>
      </w:r>
      <w:r>
        <w:t xml:space="preserve">Do not quote the two interchangeably.</w:t>
      </w:r>
    </w:p>
    <w:bookmarkEnd w:id="26"/>
    <w:bookmarkStart w:id="27" w:name="weight-change-as-a-signal"/>
    <w:p>
      <w:pPr>
        <w:pStyle w:val="Heading3"/>
      </w:pPr>
      <w:r>
        <w:t xml:space="preserve">Weight change as a signal</w:t>
      </w:r>
    </w:p>
    <w:p>
      <w:pPr>
        <w:pStyle w:val="FirstParagraph"/>
      </w:pPr>
      <w:r>
        <w:rPr>
          <w:b/>
          <w:bCs/>
        </w:rPr>
        <w:t xml:space="preserve">[7]</w:t>
      </w:r>
      <w:r>
        <w:t xml:space="preserve"> </w:t>
      </w:r>
      <w:r>
        <w:t xml:space="preserve">Freeman, L. M., Lachaud, M. P., Matthews, S., Rhodes, L. and Zollers, B. (2016).</w:t>
      </w:r>
      <w:r>
        <w:t xml:space="preserve"> </w:t>
      </w:r>
      <w:r>
        <w:t xml:space="preserve">Evaluation of weight loss over time in cats with chronic kidney disease.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Veterinary Internal Medicine</w:t>
      </w:r>
      <w:r>
        <w:t xml:space="preserve">, 30(5), 1661-1666. doi:10.1111/jvim.14561, PMID 27527534</w:t>
      </w:r>
      <w:r>
        <w:t xml:space="preserve"> </w:t>
      </w:r>
      <w:r>
        <w:t xml:space="preserve">https://onlinelibrary.wiley.com/doi/abs/10.1111/jvim.14561</w:t>
      </w:r>
    </w:p>
    <w:p>
      <w:pPr>
        <w:pStyle w:val="BlockText"/>
      </w:pPr>
      <w:r>
        <w:rPr>
          <w:i/>
          <w:iCs/>
        </w:rPr>
        <w:t xml:space="preserve">Supports:</w:t>
      </w:r>
      <w:r>
        <w:t xml:space="preserve"> </w:t>
      </w:r>
      <w:r>
        <w:t xml:space="preserve">weight loss as an early-warning signal, and the rough placement of the 5%</w:t>
      </w:r>
      <w:r>
        <w:t xml:space="preserve"> </w:t>
      </w:r>
      <w:r>
        <w:t xml:space="preserve">“notable”</w:t>
      </w:r>
      <w:r>
        <w:t xml:space="preserve"> </w:t>
      </w:r>
      <w:r>
        <w:t xml:space="preserve">and 10%</w:t>
      </w:r>
      <w:r>
        <w:t xml:space="preserve"> </w:t>
      </w:r>
      <w:r>
        <w:t xml:space="preserve">“urgent”</w:t>
      </w:r>
      <w:r>
        <w:t xml:space="preserve"> </w:t>
      </w:r>
      <w:r>
        <w:t xml:space="preserve">thresholds. In 569 cats, weight loss was detectable up to</w:t>
      </w:r>
      <w:r>
        <w:t xml:space="preserve"> </w:t>
      </w:r>
      <w:r>
        <w:t xml:space="preserve">three years before CKD diagnosis, with around 10% of body weight lost in the year</w:t>
      </w:r>
      <w:r>
        <w:t xml:space="preserve"> </w:t>
      </w:r>
      <w:r>
        <w:t xml:space="preserve">preceding it. This is a</w:t>
      </w:r>
      <w:r>
        <w:t xml:space="preserve"> </w:t>
      </w:r>
      <w:r>
        <w:rPr>
          <w:i/>
          <w:iCs/>
        </w:rPr>
        <w:t xml:space="preserve">post-hoc</w:t>
      </w:r>
      <w:r>
        <w:t xml:space="preserve"> </w:t>
      </w:r>
      <w:r>
        <w:t xml:space="preserve">sanity check on thresholds chosen by engineering</w:t>
      </w:r>
      <w:r>
        <w:t xml:space="preserve"> </w:t>
      </w:r>
      <w:r>
        <w:t xml:space="preserve">judgement, not their source.</w:t>
      </w:r>
    </w:p>
    <w:p>
      <w:pPr>
        <w:pStyle w:val="FirstParagraph"/>
      </w:pPr>
      <w:r>
        <w:rPr>
          <w:b/>
          <w:bCs/>
        </w:rPr>
        <w:t xml:space="preserve">[8]</w:t>
      </w:r>
      <w:r>
        <w:t xml:space="preserve"> </w:t>
      </w:r>
      <w:r>
        <w:t xml:space="preserve">Salt, C., Morris, P. J., German, A. J., et al. (2017). Growth standard charts for</w:t>
      </w:r>
      <w:r>
        <w:t xml:space="preserve"> </w:t>
      </w:r>
      <w:r>
        <w:t xml:space="preserve">monitoring bodyweight in dogs of different sizes.</w:t>
      </w:r>
      <w:r>
        <w:t xml:space="preserve"> </w:t>
      </w:r>
      <w:r>
        <w:rPr>
          <w:i/>
          <w:iCs/>
        </w:rPr>
        <w:t xml:space="preserve">PLoS ONE</w:t>
      </w:r>
      <w:r>
        <w:t xml:space="preserve">, 12(9), e0182064. WALTHAM</w:t>
      </w:r>
      <w:r>
        <w:t xml:space="preserve"> </w:t>
      </w:r>
      <w:r>
        <w:t xml:space="preserve">Centre for Pet Nutrition. doi:10.1371/journal.pone.0182064</w:t>
      </w:r>
      <w:r>
        <w:t xml:space="preserve"> </w:t>
      </w:r>
      <w:r>
        <w:t xml:space="preserve">https://journals.plos.org/plosone/article?id=10.1371/journal.pone.0182064</w:t>
      </w:r>
    </w:p>
    <w:p>
      <w:pPr>
        <w:pStyle w:val="BlockText"/>
      </w:pPr>
      <w:r>
        <w:rPr>
          <w:i/>
          <w:iCs/>
        </w:rPr>
        <w:t xml:space="preserve">Supports:</w:t>
      </w:r>
      <w:r>
        <w:t xml:space="preserve"> </w:t>
      </w:r>
      <w:r>
        <w:t xml:space="preserve">suppressing gain rules while a pet is still growing. Drawn from a</w:t>
      </w:r>
      <w:r>
        <w:t xml:space="preserve"> </w:t>
      </w:r>
      <w:r>
        <w:t xml:space="preserve">primary-care database holding 3.1 million purebred dogs of the selected breeds aged</w:t>
      </w:r>
      <w:r>
        <w:t xml:space="preserve"> </w:t>
      </w:r>
      <w:r>
        <w:t xml:space="preserve">10.4 weeks to 2.25 years; centile curves were built for 100 breed-specific models, with</w:t>
      </w:r>
      <w:r>
        <w:t xml:space="preserve"> </w:t>
      </w:r>
      <w:r>
        <w:t xml:space="preserve">the clinical charts based on five size categories.</w:t>
      </w:r>
      <w:r>
        <w:t xml:space="preserve"> </w:t>
      </w:r>
      <w:r>
        <w:rPr>
          <w:b/>
          <w:bCs/>
        </w:rPr>
        <w:t xml:space="preserve">The obvious upgrade path:</w:t>
      </w:r>
      <w:r>
        <w:t xml:space="preserve"> </w:t>
      </w:r>
      <w:r>
        <w:t xml:space="preserve">the</w:t>
      </w:r>
      <w:r>
        <w:t xml:space="preserve"> </w:t>
      </w:r>
      <w:r>
        <w:t xml:space="preserve">engine gates growth on a crude</w:t>
      </w:r>
      <w:r>
        <w:t xml:space="preserve"> </w:t>
      </w:r>
      <w:r>
        <w:t xml:space="preserve">“adult from N months”</w:t>
      </w:r>
      <w:r>
        <w:t xml:space="preserve"> </w:t>
      </w:r>
      <w:r>
        <w:t xml:space="preserve">cut-off per breed, which these</w:t>
      </w:r>
      <w:r>
        <w:t xml:space="preserve"> </w:t>
      </w:r>
      <w:r>
        <w:t xml:space="preserve">percentile curves would replace with a real growth trajectory.</w:t>
      </w:r>
    </w:p>
    <w:bookmarkEnd w:id="27"/>
    <w:bookmarkStart w:id="28" w:name="known-citation-gaps"/>
    <w:p>
      <w:pPr>
        <w:pStyle w:val="Heading3"/>
      </w:pPr>
      <w:r>
        <w:t xml:space="preserve">Known citation gaps</w:t>
      </w:r>
    </w:p>
    <w:p>
      <w:pPr>
        <w:pStyle w:val="FirstParagraph"/>
      </w:pPr>
      <w:r>
        <w:t xml:space="preserve">Two parts of the engine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covered by anything above and should not be presented</w:t>
      </w:r>
      <w:r>
        <w:t xml:space="preserve"> </w:t>
      </w:r>
      <w:r>
        <w:t xml:space="preserve">as though they are: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breed weight table.</w:t>
      </w:r>
      <w:r>
        <w:t xml:space="preserve"> </w:t>
      </w:r>
      <w:r>
        <w:t xml:space="preserve">No open, normative, per-breed healthy-weight dataset exists.</w:t>
      </w:r>
      <w:r>
        <w:t xml:space="preserve"> </w:t>
      </w:r>
      <w:r>
        <w:t xml:space="preserve">The 19 entries in</w:t>
      </w:r>
      <w:r>
        <w:t xml:space="preserve"> </w:t>
      </w:r>
      <w:r>
        <w:rPr>
          <w:rStyle w:val="VerbatimChar"/>
        </w:rPr>
        <w:t xml:space="preserve">weight.py</w:t>
      </w:r>
      <w:r>
        <w:t xml:space="preserve"> </w:t>
      </w:r>
      <w:r>
        <w:t xml:space="preserve">are assembled from published breed standards and are the</w:t>
      </w:r>
      <w:r>
        <w:t xml:space="preserve"> </w:t>
      </w:r>
      <w:r>
        <w:t xml:space="preserve">weakest-sourced component of the system. Reference [4] is the intended replacement</w:t>
      </w:r>
      <w:r>
        <w:t xml:space="preserve"> </w:t>
      </w:r>
      <w:r>
        <w:t xml:space="preserve">wherever a BCS is available.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non-diagnostic constraint.</w:t>
      </w:r>
      <w:r>
        <w:t xml:space="preserve"> </w:t>
      </w:r>
      <w:r>
        <w:t xml:space="preserve">The engine’s most important safety property - that it</w:t>
      </w:r>
      <w:r>
        <w:t xml:space="preserve"> </w:t>
      </w:r>
      <w:r>
        <w:t xml:space="preserve">never names a disease (§3</w:t>
      </w:r>
      <w:r>
        <w:t xml:space="preserve"> </w:t>
      </w:r>
      <w:r>
        <w:t xml:space="preserve">“Removal of diagnostic outputs”</w:t>
      </w:r>
      <w:r>
        <w:t xml:space="preserve">) - rests on product judgement</w:t>
      </w:r>
      <w:r>
        <w:t xml:space="preserve"> </w:t>
      </w:r>
      <w:r>
        <w:t xml:space="preserve">rather than a cited standard. Veterinary telehealth and VCPR guidance (AVMA, RCVS) is</w:t>
      </w:r>
      <w:r>
        <w:t xml:space="preserve"> </w:t>
      </w:r>
      <w:r>
        <w:t xml:space="preserve">the likely place to look. This should be resolved before any external publication.</w:t>
      </w:r>
    </w:p>
    <w:bookmarkEnd w:id="28"/>
    <w:bookmarkStart w:id="29" w:name="X027aa25a41e5da70d1c7db7dcdc88b48479a3c9"/>
    <w:p>
      <w:pPr>
        <w:pStyle w:val="Heading3"/>
      </w:pPr>
      <w:r>
        <w:t xml:space="preserve">Outstanding: this report predates the weight subsystem</w:t>
      </w:r>
    </w:p>
    <w:p>
      <w:pPr>
        <w:pStyle w:val="FirstParagraph"/>
      </w:pPr>
      <w:r>
        <w:t xml:space="preserve">Sections 1-9 do not describe</w:t>
      </w:r>
      <w:r>
        <w:t xml:space="preserve"> </w:t>
      </w:r>
      <w:r>
        <w:rPr>
          <w:rStyle w:val="VerbatimChar"/>
        </w:rPr>
        <w:t xml:space="preserve">phavit/weight.py</w:t>
      </w:r>
      <w:r>
        <w:t xml:space="preserve"> </w:t>
      </w:r>
      <w:r>
        <w:t xml:space="preserve">at all. Specifically still to update: the</w:t>
      </w:r>
      <w:r>
        <w:t xml:space="preserve"> </w:t>
      </w:r>
      <w:r>
        <w:t xml:space="preserve">deliverables list and fixture count in §2; the module list in §3; the score equation in §3</w:t>
      </w:r>
      <w:r>
        <w:t xml:space="preserve"> </w:t>
      </w:r>
      <w:r>
        <w:t xml:space="preserve">Layer 1 (no weight term); the Layer 2 trigger table in §3 (missing</w:t>
      </w:r>
      <w:r>
        <w:t xml:space="preserve"> </w:t>
      </w:r>
      <w:r>
        <w:rPr>
          <w:rStyle w:val="VerbatimChar"/>
        </w:rPr>
        <w:t xml:space="preserve">notable_weight_loss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weight_loss_with_signs</w:t>
      </w:r>
      <w:r>
        <w:t xml:space="preserve">,</w:t>
      </w:r>
      <w:r>
        <w:t xml:space="preserve"> </w:t>
      </w:r>
      <w:r>
        <w:rPr>
          <w:rStyle w:val="VerbatimChar"/>
        </w:rPr>
        <w:t xml:space="preserve">rapid_weight_gain</w:t>
      </w:r>
      <w:r>
        <w:t xml:space="preserve">); the test results in §5; the age/species</w:t>
      </w:r>
      <w:r>
        <w:t xml:space="preserve"> </w:t>
      </w:r>
      <w:r>
        <w:t xml:space="preserve">claim in §7; the weighting table in §8.2 (predates the body-status modifiers); and §8’s</w:t>
      </w:r>
      <w:r>
        <w:t xml:space="preserve"> </w:t>
      </w:r>
      <w:r>
        <w:t xml:space="preserve">open questions (nothing on the weight thresholds). Until that is done,</w:t>
      </w:r>
      <w:r>
        <w:t xml:space="preserve"> </w:t>
      </w:r>
      <w:r>
        <w:rPr>
          <w:rStyle w:val="VerbatimChar"/>
        </w:rPr>
        <w:t xml:space="preserve">PawHealthAI_Vitality_Score.md</w:t>
      </w:r>
      <w:r>
        <w:t xml:space="preserve"> </w:t>
      </w:r>
      <w:r>
        <w:t xml:space="preserve">is the current description of the weight subsystem.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Every rule and threshold in v0.2 is provisional and flagged for veterinary review rather</w:t>
      </w:r>
      <w:r>
        <w:rPr>
          <w:i/>
          <w:iCs/>
        </w:rPr>
        <w:t xml:space="preserve"> </w:t>
      </w:r>
      <w:r>
        <w:rPr>
          <w:i/>
          <w:iCs/>
        </w:rPr>
        <w:t xml:space="preserve">than treated as final.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2026-08-25T03:55:38Z</dcterms:created>
  <dcterms:modified xsi:type="dcterms:W3CDTF">2026-08-25T03:55:38Z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