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azaEyebrow"/>
      </w:pPr>
      <w:r>
        <w:t>PRODUCT SYSTEM  ·  MASTER DOCUMENT</w:t>
      </w:r>
    </w:p>
    <w:p>
      <w:pPr>
        <w:spacing w:before="1200"/>
        <w:jc w:val="center"/>
      </w:pPr>
      <w:r>
        <w:rPr>
          <w:rFonts w:ascii="Inter Display" w:hAnsi="Inter Display"/>
          <w:b/>
          <w:color w:val="24245E"/>
          <w:sz w:val="108"/>
        </w:rPr>
        <w:t>kaza</w:t>
      </w:r>
    </w:p>
    <w:p>
      <w:pPr>
        <w:jc w:val="center"/>
      </w:pPr>
      <w:r>
        <w:rPr>
          <w:rFonts w:ascii="Inter" w:hAnsi="Inter"/>
          <w:b/>
          <w:color w:val="24245E"/>
          <w:sz w:val="48"/>
        </w:rPr>
        <w:t>Product &amp; Architecture Master</w:t>
      </w:r>
    </w:p>
    <w:p>
      <w:pPr>
        <w:jc w:val="center"/>
      </w:pPr>
      <w:r>
        <w:rPr>
          <w:rFonts w:ascii="Inter" w:hAnsi="Inter"/>
          <w:b/>
          <w:color w:val="E86E25"/>
          <w:sz w:val="30"/>
        </w:rPr>
        <w:t>Versión 0.2</w:t>
      </w:r>
    </w:p>
    <w:p>
      <w:pPr>
        <w:jc w:val="center"/>
      </w:pPr>
      <w:r>
        <w:rPr>
          <w:rFonts w:ascii="Inter" w:hAnsi="Inter"/>
          <w:color w:val="626777"/>
          <w:sz w:val="20"/>
        </w:rPr>
        <w:t>Arquitectura funcional consolidada · base para UX/UI, arquitectura técnica y especificación MVP</w:t>
      </w:r>
    </w:p>
    <w:p>
      <w:pPr>
        <w:spacing w:before="640"/>
      </w:pPr>
    </w:p>
    <w:tbl>
      <w:tblPr>
        <w:tblW w:type="auto" w:w="0"/>
        <w:jc w:val="center"/>
        <w:tblLayout w:type="fixed"/>
        <w:tblLook w:firstColumn="1" w:firstRow="1" w:lastColumn="0" w:lastRow="0" w:noHBand="0" w:noVBand="1" w:val="04A0"/>
      </w:tblPr>
      <w:tblGrid>
        <w:gridCol w:w="2232"/>
        <w:gridCol w:w="7056"/>
      </w:tblGrid>
      <w:tr>
        <w:trPr>
          <w:tblHeader w:val="true"/>
        </w:trPr>
        <w:tc>
          <w:tcPr>
            <w:tcW w:type="dxa" w:w="5112"/>
            <w:shd w:fill="F0F1F7"/>
            <w:tcMar>
              <w:top w:w="120" w:type="dxa"/>
              <w:start w:w="120" w:type="dxa"/>
              <w:bottom w:w="120" w:type="dxa"/>
              <w:end w:w="120" w:type="dxa"/>
            </w:tcMar>
            <w:tcBorders>
              <w:bottom w:val="single" w:sz="4" w:color="E3E5EE"/>
            </w:tcBorders>
          </w:tcPr>
          <w:p>
            <w:r>
              <w:rPr>
                <w:b/>
                <w:color w:val="626777"/>
                <w:sz w:val="15"/>
              </w:rPr>
              <w:t>FECHA DE CORTE</w:t>
            </w:r>
          </w:p>
        </w:tc>
        <w:tc>
          <w:tcPr>
            <w:tcW w:type="dxa" w:w="5112"/>
            <w:shd w:fill="FAFAFC"/>
            <w:tcMar>
              <w:top w:w="120" w:type="dxa"/>
              <w:start w:w="120" w:type="dxa"/>
              <w:bottom w:w="120" w:type="dxa"/>
              <w:end w:w="120" w:type="dxa"/>
            </w:tcMar>
            <w:tcBorders>
              <w:bottom w:val="single" w:sz="4" w:color="E3E5EE"/>
            </w:tcBorders>
          </w:tcPr>
          <w:p>
            <w:r>
              <w:rPr>
                <w:color w:val="202333"/>
                <w:sz w:val="19"/>
              </w:rPr>
              <w:t>24 de julio de 2026</w:t>
            </w:r>
          </w:p>
        </w:tc>
      </w:tr>
      <w:tr>
        <w:tc>
          <w:tcPr>
            <w:tcW w:type="dxa" w:w="5112"/>
            <w:shd w:fill="F0F1F7"/>
            <w:tcMar>
              <w:top w:w="120" w:type="dxa"/>
              <w:start w:w="120" w:type="dxa"/>
              <w:bottom w:w="120" w:type="dxa"/>
              <w:end w:w="120" w:type="dxa"/>
            </w:tcMar>
            <w:tcBorders>
              <w:bottom w:val="single" w:sz="4" w:color="E3E5EE"/>
            </w:tcBorders>
          </w:tcPr>
          <w:p>
            <w:r>
              <w:rPr>
                <w:b/>
                <w:color w:val="626777"/>
                <w:sz w:val="15"/>
              </w:rPr>
              <w:t>ESTADO</w:t>
            </w:r>
          </w:p>
        </w:tc>
        <w:tc>
          <w:tcPr>
            <w:tcW w:type="dxa" w:w="5112"/>
            <w:shd w:fill="FAFAFC"/>
            <w:tcMar>
              <w:top w:w="120" w:type="dxa"/>
              <w:start w:w="120" w:type="dxa"/>
              <w:bottom w:w="120" w:type="dxa"/>
              <w:end w:w="120" w:type="dxa"/>
            </w:tcMar>
            <w:tcBorders>
              <w:bottom w:val="single" w:sz="4" w:color="E3E5EE"/>
            </w:tcBorders>
          </w:tcPr>
          <w:p>
            <w:r>
              <w:rPr>
                <w:color w:val="202333"/>
                <w:sz w:val="19"/>
              </w:rPr>
              <w:t>Arquitectura funcional consolidada</w:t>
            </w:r>
          </w:p>
        </w:tc>
      </w:tr>
      <w:tr>
        <w:tc>
          <w:tcPr>
            <w:tcW w:type="dxa" w:w="5112"/>
            <w:shd w:fill="F0F1F7"/>
            <w:tcMar>
              <w:top w:w="120" w:type="dxa"/>
              <w:start w:w="120" w:type="dxa"/>
              <w:bottom w:w="120" w:type="dxa"/>
              <w:end w:w="120" w:type="dxa"/>
            </w:tcMar>
            <w:tcBorders>
              <w:bottom w:val="single" w:sz="4" w:color="E3E5EE"/>
            </w:tcBorders>
          </w:tcPr>
          <w:p>
            <w:r>
              <w:rPr>
                <w:b/>
                <w:color w:val="626777"/>
                <w:sz w:val="15"/>
              </w:rPr>
              <w:t>ALCANCE</w:t>
            </w:r>
          </w:p>
        </w:tc>
        <w:tc>
          <w:tcPr>
            <w:tcW w:type="dxa" w:w="5112"/>
            <w:shd w:fill="FAFAFC"/>
            <w:tcMar>
              <w:top w:w="120" w:type="dxa"/>
              <w:start w:w="120" w:type="dxa"/>
              <w:bottom w:w="120" w:type="dxa"/>
              <w:end w:w="120" w:type="dxa"/>
            </w:tcMar>
            <w:tcBorders>
              <w:bottom w:val="single" w:sz="4" w:color="E3E5EE"/>
            </w:tcBorders>
          </w:tcPr>
          <w:p>
            <w:r>
              <w:rPr>
                <w:color w:val="202333"/>
                <w:sz w:val="19"/>
              </w:rPr>
              <w:t>Producto · negocio · datos · operación · compliance</w:t>
            </w:r>
          </w:p>
        </w:tc>
      </w:tr>
      <w:tr>
        <w:tc>
          <w:tcPr>
            <w:tcW w:type="dxa" w:w="5112"/>
            <w:shd w:fill="F0F1F7"/>
            <w:tcMar>
              <w:top w:w="120" w:type="dxa"/>
              <w:start w:w="120" w:type="dxa"/>
              <w:bottom w:w="120" w:type="dxa"/>
              <w:end w:w="120" w:type="dxa"/>
            </w:tcMar>
            <w:tcBorders>
              <w:bottom w:val="single" w:sz="4" w:color="E3E5EE"/>
            </w:tcBorders>
          </w:tcPr>
          <w:p>
            <w:r>
              <w:rPr>
                <w:b/>
                <w:color w:val="626777"/>
                <w:sz w:val="15"/>
              </w:rPr>
              <w:t>SIGUIENTE FASE</w:t>
            </w:r>
          </w:p>
        </w:tc>
        <w:tc>
          <w:tcPr>
            <w:tcW w:type="dxa" w:w="5112"/>
            <w:shd w:fill="FAFAFC"/>
            <w:tcMar>
              <w:top w:w="120" w:type="dxa"/>
              <w:start w:w="120" w:type="dxa"/>
              <w:bottom w:w="120" w:type="dxa"/>
              <w:end w:w="120" w:type="dxa"/>
            </w:tcMar>
            <w:tcBorders>
              <w:bottom w:val="single" w:sz="4" w:color="E3E5EE"/>
            </w:tcBorders>
          </w:tcPr>
          <w:p>
            <w:r>
              <w:rPr>
                <w:color w:val="202333"/>
                <w:sz w:val="19"/>
              </w:rPr>
              <w:t>UX/UI System → Technical Architecture → MVP Specification</w:t>
            </w:r>
          </w:p>
        </w:tc>
      </w:tr>
    </w:tbl>
    <w:p>
      <w:pPr>
        <w:spacing w:before="560"/>
        <w:jc w:val="center"/>
      </w:pPr>
      <w:r>
        <w:rPr>
          <w:i/>
          <w:color w:val="626777"/>
          <w:sz w:val="17"/>
        </w:rPr>
        <w:t>Documento vivo. Las decisiones posteriores aprobadas sustituyen cualquier regla incompatible anterior.</w:t>
      </w:r>
    </w:p>
    <w:p>
      <w:r>
        <w:br w:type="page"/>
      </w:r>
    </w:p>
    <w:p>
      <w:pPr>
        <w:pStyle w:val="Heading1"/>
      </w:pPr>
      <w:r>
        <w:t>0. Control del documento</w:t>
      </w:r>
    </w:p>
    <w:p>
      <w:pPr>
        <w:pStyle w:val="KazaLead"/>
      </w:pPr>
      <w:r>
        <w:t>Este Master consolida las decisiones de producto, arquitectura funcional, monetización, operación y cumplimiento de Kaza. No es todavía una especificación de implementación ni sustituye revisión jurídica local.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4245E"/>
            <w:vAlign w:val="center"/>
          </w:tcPr>
          <w:p>
            <w:r>
              <w:rPr>
                <w:b/>
                <w:color w:val="FFFFFF"/>
                <w:sz w:val="17"/>
              </w:rPr>
              <w:t>Capa</w:t>
            </w:r>
          </w:p>
        </w:tc>
        <w:tc>
          <w:tcPr>
            <w:tcW w:type="dxa" w:w="2556"/>
            <w:shd w:fill="24245E"/>
            <w:vAlign w:val="center"/>
          </w:tcPr>
          <w:p>
            <w:r>
              <w:rPr>
                <w:b/>
                <w:color w:val="FFFFFF"/>
                <w:sz w:val="17"/>
              </w:rPr>
              <w:t>Estado</w:t>
            </w:r>
          </w:p>
        </w:tc>
        <w:tc>
          <w:tcPr>
            <w:tcW w:type="dxa" w:w="2556"/>
            <w:shd w:fill="24245E"/>
            <w:vAlign w:val="center"/>
          </w:tcPr>
          <w:p>
            <w:r>
              <w:rPr>
                <w:b/>
                <w:color w:val="FFFFFF"/>
                <w:sz w:val="17"/>
              </w:rPr>
              <w:t>Qué queda cerrado</w:t>
            </w:r>
          </w:p>
        </w:tc>
        <w:tc>
          <w:tcPr>
            <w:tcW w:type="dxa" w:w="2556"/>
            <w:shd w:fill="24245E"/>
            <w:vAlign w:val="center"/>
          </w:tcPr>
          <w:p>
            <w:r>
              <w:rPr>
                <w:b/>
                <w:color w:val="FFFFFF"/>
                <w:sz w:val="17"/>
              </w:rPr>
              <w:t>Qué sigue</w:t>
            </w:r>
          </w:p>
        </w:tc>
      </w:tr>
      <w:tr>
        <w:trPr>
          <w:cantSplit/>
        </w:trPr>
        <w:tc>
          <w:tcPr>
            <w:tcW w:type="dxa" w:w="2556"/>
            <w:tcMar>
              <w:top w:w="90" w:type="dxa"/>
              <w:start w:w="90" w:type="dxa"/>
              <w:bottom w:w="90" w:type="dxa"/>
              <w:end w:w="90" w:type="dxa"/>
            </w:tcMar>
            <w:vAlign w:val="center"/>
          </w:tcPr>
          <w:p>
            <w:r>
              <w:rPr>
                <w:rFonts w:ascii="Inter" w:hAnsi="Inter"/>
                <w:sz w:val="16"/>
              </w:rPr>
              <w:t>Producto</w:t>
            </w:r>
          </w:p>
        </w:tc>
        <w:tc>
          <w:tcPr>
            <w:tcW w:type="dxa" w:w="2556"/>
            <w:tcMar>
              <w:top w:w="90" w:type="dxa"/>
              <w:start w:w="90" w:type="dxa"/>
              <w:bottom w:w="90" w:type="dxa"/>
              <w:end w:w="90" w:type="dxa"/>
            </w:tcMar>
            <w:vAlign w:val="center"/>
          </w:tcPr>
          <w:p>
            <w:r>
              <w:rPr>
                <w:rFonts w:ascii="Inter" w:hAnsi="Inter"/>
                <w:sz w:val="16"/>
              </w:rPr>
              <w:t>Cerrado conceptualmente</w:t>
            </w:r>
          </w:p>
        </w:tc>
        <w:tc>
          <w:tcPr>
            <w:tcW w:type="dxa" w:w="2556"/>
            <w:tcMar>
              <w:top w:w="90" w:type="dxa"/>
              <w:start w:w="90" w:type="dxa"/>
              <w:bottom w:w="90" w:type="dxa"/>
              <w:end w:w="90" w:type="dxa"/>
            </w:tcMar>
            <w:vAlign w:val="center"/>
          </w:tcPr>
          <w:p>
            <w:r>
              <w:rPr>
                <w:rFonts w:ascii="Inter" w:hAnsi="Inter"/>
                <w:sz w:val="16"/>
              </w:rPr>
              <w:t>Dominio, journeys, reglas, roles</w:t>
            </w:r>
          </w:p>
        </w:tc>
        <w:tc>
          <w:tcPr>
            <w:tcW w:type="dxa" w:w="2556"/>
            <w:tcMar>
              <w:top w:w="90" w:type="dxa"/>
              <w:start w:w="90" w:type="dxa"/>
              <w:bottom w:w="90" w:type="dxa"/>
              <w:end w:w="90" w:type="dxa"/>
            </w:tcMar>
            <w:vAlign w:val="center"/>
          </w:tcPr>
          <w:p>
            <w:r>
              <w:rPr>
                <w:rFonts w:ascii="Inter" w:hAnsi="Inter"/>
                <w:sz w:val="16"/>
              </w:rPr>
              <w:t>UX/UI detallado</w:t>
            </w:r>
          </w:p>
        </w:tc>
      </w:tr>
      <w:tr>
        <w:trPr>
          <w:cantSplit/>
        </w:trPr>
        <w:tc>
          <w:tcPr>
            <w:tcW w:type="dxa" w:w="2556"/>
            <w:tcMar>
              <w:top w:w="90" w:type="dxa"/>
              <w:start w:w="90" w:type="dxa"/>
              <w:bottom w:w="90" w:type="dxa"/>
              <w:end w:w="90" w:type="dxa"/>
            </w:tcMar>
            <w:vAlign w:val="center"/>
          </w:tcPr>
          <w:p>
            <w:r>
              <w:rPr>
                <w:rFonts w:ascii="Inter" w:hAnsi="Inter"/>
                <w:sz w:val="16"/>
              </w:rPr>
              <w:t>Negocio</w:t>
            </w:r>
          </w:p>
        </w:tc>
        <w:tc>
          <w:tcPr>
            <w:tcW w:type="dxa" w:w="2556"/>
            <w:tcMar>
              <w:top w:w="90" w:type="dxa"/>
              <w:start w:w="90" w:type="dxa"/>
              <w:bottom w:w="90" w:type="dxa"/>
              <w:end w:w="90" w:type="dxa"/>
            </w:tcMar>
            <w:vAlign w:val="center"/>
          </w:tcPr>
          <w:p>
            <w:r>
              <w:rPr>
                <w:rFonts w:ascii="Inter" w:hAnsi="Inter"/>
                <w:sz w:val="16"/>
              </w:rPr>
              <w:t>Cerrado conceptualmente</w:t>
            </w:r>
          </w:p>
        </w:tc>
        <w:tc>
          <w:tcPr>
            <w:tcW w:type="dxa" w:w="2556"/>
            <w:tcMar>
              <w:top w:w="90" w:type="dxa"/>
              <w:start w:w="90" w:type="dxa"/>
              <w:bottom w:w="90" w:type="dxa"/>
              <w:end w:w="90" w:type="dxa"/>
            </w:tcMar>
            <w:vAlign w:val="center"/>
          </w:tcPr>
          <w:p>
            <w:r>
              <w:rPr>
                <w:rFonts w:ascii="Inter" w:hAnsi="Inter"/>
                <w:sz w:val="16"/>
              </w:rPr>
              <w:t>Free, Plus, Pro, Inmobiliaria, Projects, Media</w:t>
            </w:r>
          </w:p>
        </w:tc>
        <w:tc>
          <w:tcPr>
            <w:tcW w:type="dxa" w:w="2556"/>
            <w:tcMar>
              <w:top w:w="90" w:type="dxa"/>
              <w:start w:w="90" w:type="dxa"/>
              <w:bottom w:w="90" w:type="dxa"/>
              <w:end w:w="90" w:type="dxa"/>
            </w:tcMar>
            <w:vAlign w:val="center"/>
          </w:tcPr>
          <w:p>
            <w:r>
              <w:rPr>
                <w:rFonts w:ascii="Inter" w:hAnsi="Inter"/>
                <w:sz w:val="16"/>
              </w:rPr>
              <w:t>Precios y unit economics</w:t>
            </w:r>
          </w:p>
        </w:tc>
      </w:tr>
      <w:tr>
        <w:trPr>
          <w:cantSplit/>
        </w:trPr>
        <w:tc>
          <w:tcPr>
            <w:tcW w:type="dxa" w:w="2556"/>
            <w:tcMar>
              <w:top w:w="90" w:type="dxa"/>
              <w:start w:w="90" w:type="dxa"/>
              <w:bottom w:w="90" w:type="dxa"/>
              <w:end w:w="90" w:type="dxa"/>
            </w:tcMar>
            <w:vAlign w:val="center"/>
          </w:tcPr>
          <w:p>
            <w:r>
              <w:rPr>
                <w:rFonts w:ascii="Inter" w:hAnsi="Inter"/>
                <w:sz w:val="16"/>
              </w:rPr>
              <w:t>Datos / Insights</w:t>
            </w:r>
          </w:p>
        </w:tc>
        <w:tc>
          <w:tcPr>
            <w:tcW w:type="dxa" w:w="2556"/>
            <w:tcMar>
              <w:top w:w="90" w:type="dxa"/>
              <w:start w:w="90" w:type="dxa"/>
              <w:bottom w:w="90" w:type="dxa"/>
              <w:end w:w="90" w:type="dxa"/>
            </w:tcMar>
            <w:vAlign w:val="center"/>
          </w:tcPr>
          <w:p>
            <w:r>
              <w:rPr>
                <w:rFonts w:ascii="Inter" w:hAnsi="Inter"/>
                <w:sz w:val="16"/>
              </w:rPr>
              <w:t>Cerrado conceptualmente</w:t>
            </w:r>
          </w:p>
        </w:tc>
        <w:tc>
          <w:tcPr>
            <w:tcW w:type="dxa" w:w="2556"/>
            <w:tcMar>
              <w:top w:w="90" w:type="dxa"/>
              <w:start w:w="90" w:type="dxa"/>
              <w:bottom w:w="90" w:type="dxa"/>
              <w:end w:w="90" w:type="dxa"/>
            </w:tcMar>
            <w:vAlign w:val="center"/>
          </w:tcPr>
          <w:p>
            <w:r>
              <w:rPr>
                <w:rFonts w:ascii="Inter" w:hAnsi="Inter"/>
                <w:sz w:val="16"/>
              </w:rPr>
              <w:t>Eventos, métricas, privacidad, comparables</w:t>
            </w:r>
          </w:p>
        </w:tc>
        <w:tc>
          <w:tcPr>
            <w:tcW w:type="dxa" w:w="2556"/>
            <w:tcMar>
              <w:top w:w="90" w:type="dxa"/>
              <w:start w:w="90" w:type="dxa"/>
              <w:bottom w:w="90" w:type="dxa"/>
              <w:end w:w="90" w:type="dxa"/>
            </w:tcMar>
            <w:vAlign w:val="center"/>
          </w:tcPr>
          <w:p>
            <w:r>
              <w:rPr>
                <w:rFonts w:ascii="Inter" w:hAnsi="Inter"/>
                <w:sz w:val="16"/>
              </w:rPr>
              <w:t>Esquemas y pipelines técnicos</w:t>
            </w:r>
          </w:p>
        </w:tc>
      </w:tr>
      <w:tr>
        <w:trPr>
          <w:cantSplit/>
        </w:trPr>
        <w:tc>
          <w:tcPr>
            <w:tcW w:type="dxa" w:w="2556"/>
            <w:tcMar>
              <w:top w:w="90" w:type="dxa"/>
              <w:start w:w="90" w:type="dxa"/>
              <w:bottom w:w="90" w:type="dxa"/>
              <w:end w:w="90" w:type="dxa"/>
            </w:tcMar>
            <w:vAlign w:val="center"/>
          </w:tcPr>
          <w:p>
            <w:r>
              <w:rPr>
                <w:rFonts w:ascii="Inter" w:hAnsi="Inter"/>
                <w:sz w:val="16"/>
              </w:rPr>
              <w:t>Admin / Moderation</w:t>
            </w:r>
          </w:p>
        </w:tc>
        <w:tc>
          <w:tcPr>
            <w:tcW w:type="dxa" w:w="2556"/>
            <w:tcMar>
              <w:top w:w="90" w:type="dxa"/>
              <w:start w:w="90" w:type="dxa"/>
              <w:bottom w:w="90" w:type="dxa"/>
              <w:end w:w="90" w:type="dxa"/>
            </w:tcMar>
            <w:vAlign w:val="center"/>
          </w:tcPr>
          <w:p>
            <w:r>
              <w:rPr>
                <w:rFonts w:ascii="Inter" w:hAnsi="Inter"/>
                <w:sz w:val="16"/>
              </w:rPr>
              <w:t>Cerrado conceptualmente</w:t>
            </w:r>
          </w:p>
        </w:tc>
        <w:tc>
          <w:tcPr>
            <w:tcW w:type="dxa" w:w="2556"/>
            <w:tcMar>
              <w:top w:w="90" w:type="dxa"/>
              <w:start w:w="90" w:type="dxa"/>
              <w:bottom w:w="90" w:type="dxa"/>
              <w:end w:w="90" w:type="dxa"/>
            </w:tcMar>
            <w:vAlign w:val="center"/>
          </w:tcPr>
          <w:p>
            <w:r>
              <w:rPr>
                <w:rFonts w:ascii="Inter" w:hAnsi="Inter"/>
                <w:sz w:val="16"/>
              </w:rPr>
              <w:t>Cases, escalamiento, auditoría</w:t>
            </w:r>
          </w:p>
        </w:tc>
        <w:tc>
          <w:tcPr>
            <w:tcW w:type="dxa" w:w="2556"/>
            <w:tcMar>
              <w:top w:w="90" w:type="dxa"/>
              <w:start w:w="90" w:type="dxa"/>
              <w:bottom w:w="90" w:type="dxa"/>
              <w:end w:w="90" w:type="dxa"/>
            </w:tcMar>
            <w:vAlign w:val="center"/>
          </w:tcPr>
          <w:p>
            <w:r>
              <w:rPr>
                <w:rFonts w:ascii="Inter" w:hAnsi="Inter"/>
                <w:sz w:val="16"/>
              </w:rPr>
              <w:t>Diseño backoffice</w:t>
            </w:r>
          </w:p>
        </w:tc>
      </w:tr>
      <w:tr>
        <w:trPr>
          <w:cantSplit/>
        </w:trPr>
        <w:tc>
          <w:tcPr>
            <w:tcW w:type="dxa" w:w="2556"/>
            <w:tcMar>
              <w:top w:w="90" w:type="dxa"/>
              <w:start w:w="90" w:type="dxa"/>
              <w:bottom w:w="90" w:type="dxa"/>
              <w:end w:w="90" w:type="dxa"/>
            </w:tcMar>
            <w:vAlign w:val="center"/>
          </w:tcPr>
          <w:p>
            <w:r>
              <w:rPr>
                <w:rFonts w:ascii="Inter" w:hAnsi="Inter"/>
                <w:sz w:val="16"/>
              </w:rPr>
              <w:t>Compliance</w:t>
            </w:r>
          </w:p>
        </w:tc>
        <w:tc>
          <w:tcPr>
            <w:tcW w:type="dxa" w:w="2556"/>
            <w:tcMar>
              <w:top w:w="90" w:type="dxa"/>
              <w:start w:w="90" w:type="dxa"/>
              <w:bottom w:w="90" w:type="dxa"/>
              <w:end w:w="90" w:type="dxa"/>
            </w:tcMar>
            <w:vAlign w:val="center"/>
          </w:tcPr>
          <w:p>
            <w:r>
              <w:rPr>
                <w:rFonts w:ascii="Inter" w:hAnsi="Inter"/>
                <w:sz w:val="16"/>
              </w:rPr>
              <w:t>Arquitectura lista</w:t>
            </w:r>
          </w:p>
        </w:tc>
        <w:tc>
          <w:tcPr>
            <w:tcW w:type="dxa" w:w="2556"/>
            <w:tcMar>
              <w:top w:w="90" w:type="dxa"/>
              <w:start w:w="90" w:type="dxa"/>
              <w:bottom w:w="90" w:type="dxa"/>
              <w:end w:w="90" w:type="dxa"/>
            </w:tcMar>
            <w:vAlign w:val="center"/>
          </w:tcPr>
          <w:p>
            <w:r>
              <w:rPr>
                <w:rFonts w:ascii="Inter" w:hAnsi="Inter"/>
                <w:sz w:val="16"/>
              </w:rPr>
              <w:t>Store, legal, global market gates</w:t>
            </w:r>
          </w:p>
        </w:tc>
        <w:tc>
          <w:tcPr>
            <w:tcW w:type="dxa" w:w="2556"/>
            <w:tcMar>
              <w:top w:w="90" w:type="dxa"/>
              <w:start w:w="90" w:type="dxa"/>
              <w:bottom w:w="90" w:type="dxa"/>
              <w:end w:w="90" w:type="dxa"/>
            </w:tcMar>
            <w:vAlign w:val="center"/>
          </w:tcPr>
          <w:p>
            <w:r>
              <w:rPr>
                <w:rFonts w:ascii="Inter" w:hAnsi="Inter"/>
                <w:sz w:val="16"/>
              </w:rPr>
              <w:t>Validación por país antes de launch</w:t>
            </w:r>
          </w:p>
        </w:tc>
      </w:tr>
      <w:tr>
        <w:trPr>
          <w:cantSplit/>
        </w:trPr>
        <w:tc>
          <w:tcPr>
            <w:tcW w:type="dxa" w:w="2556"/>
            <w:tcMar>
              <w:top w:w="90" w:type="dxa"/>
              <w:start w:w="90" w:type="dxa"/>
              <w:bottom w:w="90" w:type="dxa"/>
              <w:end w:w="90" w:type="dxa"/>
            </w:tcMar>
            <w:vAlign w:val="center"/>
          </w:tcPr>
          <w:p>
            <w:r>
              <w:rPr>
                <w:rFonts w:ascii="Inter" w:hAnsi="Inter"/>
                <w:sz w:val="16"/>
              </w:rPr>
              <w:t>Tecnología</w:t>
            </w:r>
          </w:p>
        </w:tc>
        <w:tc>
          <w:tcPr>
            <w:tcW w:type="dxa" w:w="2556"/>
            <w:tcMar>
              <w:top w:w="90" w:type="dxa"/>
              <w:start w:w="90" w:type="dxa"/>
              <w:bottom w:w="90" w:type="dxa"/>
              <w:end w:w="90" w:type="dxa"/>
            </w:tcMar>
            <w:vAlign w:val="center"/>
          </w:tcPr>
          <w:p>
            <w:r>
              <w:rPr>
                <w:rFonts w:ascii="Inter" w:hAnsi="Inter"/>
                <w:sz w:val="16"/>
              </w:rPr>
              <w:t>Pendiente</w:t>
            </w:r>
          </w:p>
        </w:tc>
        <w:tc>
          <w:tcPr>
            <w:tcW w:type="dxa" w:w="2556"/>
            <w:tcMar>
              <w:top w:w="90" w:type="dxa"/>
              <w:start w:w="90" w:type="dxa"/>
              <w:bottom w:w="90" w:type="dxa"/>
              <w:end w:w="90" w:type="dxa"/>
            </w:tcMar>
            <w:vAlign w:val="center"/>
          </w:tcPr>
          <w:p>
            <w:r>
              <w:rPr>
                <w:rFonts w:ascii="Inter" w:hAnsi="Inter"/>
                <w:sz w:val="16"/>
              </w:rPr>
              <w:t>Principios e invariantes</w:t>
            </w:r>
          </w:p>
        </w:tc>
        <w:tc>
          <w:tcPr>
            <w:tcW w:type="dxa" w:w="2556"/>
            <w:tcMar>
              <w:top w:w="90" w:type="dxa"/>
              <w:start w:w="90" w:type="dxa"/>
              <w:bottom w:w="90" w:type="dxa"/>
              <w:end w:w="90" w:type="dxa"/>
            </w:tcMar>
            <w:vAlign w:val="center"/>
          </w:tcPr>
          <w:p>
            <w:r>
              <w:rPr>
                <w:rFonts w:ascii="Inter" w:hAnsi="Inter"/>
                <w:sz w:val="16"/>
              </w:rPr>
              <w:t>Technical Architecture v1.0</w:t>
            </w:r>
          </w:p>
        </w:tc>
      </w:tr>
    </w:tbl>
    <w:p>
      <w:pPr>
        <w:pStyle w:val="KazaPrinciple"/>
        <w:spacing w:before="240"/>
      </w:pPr>
      <w:r>
        <w:t xml:space="preserve">Regla de gobierno: </w:t>
      </w:r>
      <w:r>
        <w:rPr>
          <w:color w:val="E86E25"/>
        </w:rPr>
        <w:t>definir → resolver conflictos → aprobar → versionar → actualizar el Master.</w:t>
      </w:r>
    </w:p>
    <w:p>
      <w:r>
        <w:br w:type="page"/>
      </w:r>
    </w:p>
    <w:p>
      <w:pPr>
        <w:pStyle w:val="Heading1"/>
      </w:pPr>
      <w:r>
        <w:t>Contenido</w:t>
      </w:r>
    </w:p>
    <w:tbl>
      <w:tblPr>
        <w:tblW w:type="auto" w:w="0"/>
        <w:jc w:val="center"/>
        <w:tblLook w:firstColumn="1" w:firstRow="1" w:lastColumn="0" w:lastRow="0" w:noHBand="0" w:noVBand="1" w:val="04A0"/>
      </w:tblPr>
      <w:tblGrid>
        <w:gridCol w:w="5112"/>
        <w:gridCol w:w="5112"/>
      </w:tblGrid>
      <w:tr>
        <w:trPr>
          <w:tblHeader w:val="true"/>
        </w:trPr>
        <w:tc>
          <w:tcPr>
            <w:tcW w:type="dxa" w:w="5112"/>
            <w:tcMar>
              <w:top w:w="45" w:type="dxa"/>
              <w:start w:w="55" w:type="dxa"/>
              <w:bottom w:w="45" w:type="dxa"/>
              <w:end w:w="55" w:type="dxa"/>
            </w:tcMar>
            <w:tcBorders>
              <w:bottom w:val="single" w:sz="2" w:color="EEF0F5"/>
            </w:tcBorders>
          </w:tcPr>
          <w:p>
            <w:r>
              <w:rPr>
                <w:color w:val="202333"/>
                <w:sz w:val="16"/>
              </w:rPr>
              <w:t>1. Resumen ejecutivo</w:t>
            </w:r>
          </w:p>
        </w:tc>
        <w:tc>
          <w:tcPr>
            <w:tcW w:type="dxa" w:w="5112"/>
            <w:tcMar>
              <w:top w:w="45" w:type="dxa"/>
              <w:start w:w="55" w:type="dxa"/>
              <w:bottom w:w="45" w:type="dxa"/>
              <w:end w:w="55" w:type="dxa"/>
            </w:tcMar>
            <w:tcBorders>
              <w:bottom w:val="single" w:sz="2" w:color="EEF0F5"/>
            </w:tcBorders>
          </w:tcPr>
          <w:p>
            <w:r>
              <w:rPr>
                <w:color w:val="202333"/>
                <w:sz w:val="16"/>
              </w:rPr>
              <w:t>16. Ecosistema comercial y Billing</w:t>
            </w:r>
          </w:p>
        </w:tc>
      </w:tr>
      <w:tr>
        <w:tc>
          <w:tcPr>
            <w:tcW w:type="dxa" w:w="5112"/>
            <w:tcMar>
              <w:top w:w="45" w:type="dxa"/>
              <w:start w:w="55" w:type="dxa"/>
              <w:bottom w:w="45" w:type="dxa"/>
              <w:end w:w="55" w:type="dxa"/>
            </w:tcMar>
            <w:tcBorders>
              <w:bottom w:val="single" w:sz="2" w:color="EEF0F5"/>
            </w:tcBorders>
          </w:tcPr>
          <w:p>
            <w:r>
              <w:rPr>
                <w:color w:val="202333"/>
                <w:sz w:val="16"/>
              </w:rPr>
              <w:t>2. Visión, propuesta de valor y principios</w:t>
            </w:r>
          </w:p>
        </w:tc>
        <w:tc>
          <w:tcPr>
            <w:tcW w:type="dxa" w:w="5112"/>
            <w:tcMar>
              <w:top w:w="45" w:type="dxa"/>
              <w:start w:w="55" w:type="dxa"/>
              <w:bottom w:w="45" w:type="dxa"/>
              <w:end w:w="55" w:type="dxa"/>
            </w:tcMar>
            <w:tcBorders>
              <w:bottom w:val="single" w:sz="2" w:color="EEF0F5"/>
            </w:tcBorders>
          </w:tcPr>
          <w:p>
            <w:r>
              <w:rPr>
                <w:color w:val="202333"/>
                <w:sz w:val="16"/>
              </w:rPr>
              <w:t>17. Kaza Media</w:t>
            </w:r>
          </w:p>
        </w:tc>
      </w:tr>
      <w:tr>
        <w:tc>
          <w:tcPr>
            <w:tcW w:type="dxa" w:w="5112"/>
            <w:tcMar>
              <w:top w:w="45" w:type="dxa"/>
              <w:start w:w="55" w:type="dxa"/>
              <w:bottom w:w="45" w:type="dxa"/>
              <w:end w:w="55" w:type="dxa"/>
            </w:tcMar>
            <w:tcBorders>
              <w:bottom w:val="single" w:sz="2" w:color="EEF0F5"/>
            </w:tcBorders>
          </w:tcPr>
          <w:p>
            <w:r>
              <w:rPr>
                <w:color w:val="202333"/>
                <w:sz w:val="16"/>
              </w:rPr>
              <w:t>3. Arquitectura general del producto</w:t>
            </w:r>
          </w:p>
        </w:tc>
        <w:tc>
          <w:tcPr>
            <w:tcW w:type="dxa" w:w="5112"/>
            <w:tcMar>
              <w:top w:w="45" w:type="dxa"/>
              <w:start w:w="55" w:type="dxa"/>
              <w:bottom w:w="45" w:type="dxa"/>
              <w:end w:w="55" w:type="dxa"/>
            </w:tcMar>
            <w:tcBorders>
              <w:bottom w:val="single" w:sz="2" w:color="EEF0F5"/>
            </w:tcBorders>
          </w:tcPr>
          <w:p>
            <w:r>
              <w:rPr>
                <w:color w:val="202333"/>
                <w:sz w:val="16"/>
              </w:rPr>
              <w:t>18. Cuenta, onboarding, Workspaces y Activity Center</w:t>
            </w:r>
          </w:p>
        </w:tc>
      </w:tr>
      <w:tr>
        <w:tc>
          <w:tcPr>
            <w:tcW w:type="dxa" w:w="5112"/>
            <w:tcMar>
              <w:top w:w="45" w:type="dxa"/>
              <w:start w:w="55" w:type="dxa"/>
              <w:bottom w:w="45" w:type="dxa"/>
              <w:end w:w="55" w:type="dxa"/>
            </w:tcMar>
            <w:tcBorders>
              <w:bottom w:val="single" w:sz="2" w:color="EEF0F5"/>
            </w:tcBorders>
          </w:tcPr>
          <w:p>
            <w:r>
              <w:rPr>
                <w:color w:val="202333"/>
                <w:sz w:val="16"/>
              </w:rPr>
              <w:t>4. Navegación y experiencia base</w:t>
            </w:r>
          </w:p>
        </w:tc>
        <w:tc>
          <w:tcPr>
            <w:tcW w:type="dxa" w:w="5112"/>
            <w:tcMar>
              <w:top w:w="45" w:type="dxa"/>
              <w:start w:w="55" w:type="dxa"/>
              <w:bottom w:w="45" w:type="dxa"/>
              <w:end w:w="55" w:type="dxa"/>
            </w:tcMar>
            <w:tcBorders>
              <w:bottom w:val="single" w:sz="2" w:color="EEF0F5"/>
            </w:tcBorders>
          </w:tcPr>
          <w:p>
            <w:r>
              <w:rPr>
                <w:color w:val="202333"/>
                <w:sz w:val="16"/>
              </w:rPr>
              <w:t>19. Admin, Backoffice y Moderación</w:t>
            </w:r>
          </w:p>
        </w:tc>
      </w:tr>
      <w:tr>
        <w:tc>
          <w:tcPr>
            <w:tcW w:type="dxa" w:w="5112"/>
            <w:tcMar>
              <w:top w:w="45" w:type="dxa"/>
              <w:start w:w="55" w:type="dxa"/>
              <w:bottom w:w="45" w:type="dxa"/>
              <w:end w:w="55" w:type="dxa"/>
            </w:tcMar>
            <w:tcBorders>
              <w:bottom w:val="single" w:sz="2" w:color="EEF0F5"/>
            </w:tcBorders>
          </w:tcPr>
          <w:p>
            <w:r>
              <w:rPr>
                <w:color w:val="202333"/>
                <w:sz w:val="16"/>
              </w:rPr>
              <w:t>5. Mapa, búsqueda, Entorno y geografía</w:t>
            </w:r>
          </w:p>
        </w:tc>
        <w:tc>
          <w:tcPr>
            <w:tcW w:type="dxa" w:w="5112"/>
            <w:tcMar>
              <w:top w:w="45" w:type="dxa"/>
              <w:start w:w="55" w:type="dxa"/>
              <w:bottom w:w="45" w:type="dxa"/>
              <w:end w:w="55" w:type="dxa"/>
            </w:tcMar>
            <w:tcBorders>
              <w:bottom w:val="single" w:sz="2" w:color="EEF0F5"/>
            </w:tcBorders>
          </w:tcPr>
          <w:p>
            <w:r>
              <w:rPr>
                <w:color w:val="202333"/>
                <w:sz w:val="16"/>
              </w:rPr>
              <w:t>20. Legal-by-Design y Store Compliance</w:t>
            </w:r>
          </w:p>
        </w:tc>
      </w:tr>
      <w:tr>
        <w:tc>
          <w:tcPr>
            <w:tcW w:type="dxa" w:w="5112"/>
            <w:tcMar>
              <w:top w:w="45" w:type="dxa"/>
              <w:start w:w="55" w:type="dxa"/>
              <w:bottom w:w="45" w:type="dxa"/>
              <w:end w:w="55" w:type="dxa"/>
            </w:tcMar>
            <w:tcBorders>
              <w:bottom w:val="single" w:sz="2" w:color="EEF0F5"/>
            </w:tcBorders>
          </w:tcPr>
          <w:p>
            <w:r>
              <w:rPr>
                <w:color w:val="202333"/>
                <w:sz w:val="16"/>
              </w:rPr>
              <w:t>6. Modelo de dominio: Property → MarketCycle → Listing</w:t>
            </w:r>
          </w:p>
        </w:tc>
        <w:tc>
          <w:tcPr>
            <w:tcW w:type="dxa" w:w="5112"/>
            <w:tcMar>
              <w:top w:w="45" w:type="dxa"/>
              <w:start w:w="55" w:type="dxa"/>
              <w:bottom w:w="45" w:type="dxa"/>
              <w:end w:w="55" w:type="dxa"/>
            </w:tcMar>
            <w:tcBorders>
              <w:bottom w:val="single" w:sz="2" w:color="EEF0F5"/>
            </w:tcBorders>
          </w:tcPr>
          <w:p>
            <w:r>
              <w:rPr>
                <w:color w:val="202333"/>
                <w:sz w:val="16"/>
              </w:rPr>
              <w:t>21. Arquitectura internacional y Market Launch Gate</w:t>
            </w:r>
          </w:p>
        </w:tc>
      </w:tr>
      <w:tr>
        <w:tc>
          <w:tcPr>
            <w:tcW w:type="dxa" w:w="5112"/>
            <w:tcMar>
              <w:top w:w="45" w:type="dxa"/>
              <w:start w:w="55" w:type="dxa"/>
              <w:bottom w:w="45" w:type="dxa"/>
              <w:end w:w="55" w:type="dxa"/>
            </w:tcMar>
            <w:tcBorders>
              <w:bottom w:val="single" w:sz="2" w:color="EEF0F5"/>
            </w:tcBorders>
          </w:tcPr>
          <w:p>
            <w:r>
              <w:rPr>
                <w:color w:val="202333"/>
                <w:sz w:val="16"/>
              </w:rPr>
              <w:t>7. Property Identity, deduplicación y composición</w:t>
            </w:r>
          </w:p>
        </w:tc>
        <w:tc>
          <w:tcPr>
            <w:tcW w:type="dxa" w:w="5112"/>
            <w:tcMar>
              <w:top w:w="45" w:type="dxa"/>
              <w:start w:w="55" w:type="dxa"/>
              <w:bottom w:w="45" w:type="dxa"/>
              <w:end w:w="55" w:type="dxa"/>
            </w:tcMar>
            <w:tcBorders>
              <w:bottom w:val="single" w:sz="2" w:color="EEF0F5"/>
            </w:tcBorders>
          </w:tcPr>
          <w:p>
            <w:r>
              <w:rPr>
                <w:color w:val="202333"/>
                <w:sz w:val="16"/>
              </w:rPr>
              <w:t>22. Seguridad, privacidad y accesibilidad</w:t>
            </w:r>
          </w:p>
        </w:tc>
      </w:tr>
      <w:tr>
        <w:tc>
          <w:tcPr>
            <w:tcW w:type="dxa" w:w="5112"/>
            <w:tcMar>
              <w:top w:w="45" w:type="dxa"/>
              <w:start w:w="55" w:type="dxa"/>
              <w:bottom w:w="45" w:type="dxa"/>
              <w:end w:w="55" w:type="dxa"/>
            </w:tcMar>
            <w:tcBorders>
              <w:bottom w:val="single" w:sz="2" w:color="EEF0F5"/>
            </w:tcBorders>
          </w:tcPr>
          <w:p>
            <w:r>
              <w:rPr>
                <w:color w:val="202333"/>
                <w:sz w:val="16"/>
              </w:rPr>
              <w:t>8. Publicar, lifecycle y disponibilidad</w:t>
            </w:r>
          </w:p>
        </w:tc>
        <w:tc>
          <w:tcPr>
            <w:tcW w:type="dxa" w:w="5112"/>
            <w:tcMar>
              <w:top w:w="45" w:type="dxa"/>
              <w:start w:w="55" w:type="dxa"/>
              <w:bottom w:w="45" w:type="dxa"/>
              <w:end w:w="55" w:type="dxa"/>
            </w:tcMar>
            <w:tcBorders>
              <w:bottom w:val="single" w:sz="2" w:color="EEF0F5"/>
            </w:tcBorders>
          </w:tcPr>
          <w:p>
            <w:r>
              <w:rPr>
                <w:color w:val="202333"/>
                <w:sz w:val="16"/>
              </w:rPr>
              <w:t>23. Invariantes del sistema</w:t>
            </w:r>
          </w:p>
        </w:tc>
      </w:tr>
      <w:tr>
        <w:tc>
          <w:tcPr>
            <w:tcW w:type="dxa" w:w="5112"/>
            <w:tcMar>
              <w:top w:w="45" w:type="dxa"/>
              <w:start w:w="55" w:type="dxa"/>
              <w:bottom w:w="45" w:type="dxa"/>
              <w:end w:w="55" w:type="dxa"/>
            </w:tcMar>
            <w:tcBorders>
              <w:bottom w:val="single" w:sz="2" w:color="EEF0F5"/>
            </w:tcBorders>
          </w:tcPr>
          <w:p>
            <w:r>
              <w:rPr>
                <w:color w:val="202333"/>
                <w:sz w:val="16"/>
              </w:rPr>
              <w:t>9. Controller, colaboración, Organizations y transferencias</w:t>
            </w:r>
          </w:p>
        </w:tc>
        <w:tc>
          <w:tcPr>
            <w:tcW w:type="dxa" w:w="5112"/>
            <w:tcMar>
              <w:top w:w="45" w:type="dxa"/>
              <w:start w:w="55" w:type="dxa"/>
              <w:bottom w:w="45" w:type="dxa"/>
              <w:end w:w="55" w:type="dxa"/>
            </w:tcMar>
            <w:tcBorders>
              <w:bottom w:val="single" w:sz="2" w:color="EEF0F5"/>
            </w:tcBorders>
          </w:tcPr>
          <w:p>
            <w:r>
              <w:rPr>
                <w:color w:val="202333"/>
                <w:sz w:val="16"/>
              </w:rPr>
              <w:t>24. Roadmap y handoff a desarrollo</w:t>
            </w:r>
          </w:p>
        </w:tc>
      </w:tr>
      <w:tr>
        <w:tc>
          <w:tcPr>
            <w:tcW w:type="dxa" w:w="5112"/>
            <w:tcMar>
              <w:top w:w="45" w:type="dxa"/>
              <w:start w:w="55" w:type="dxa"/>
              <w:bottom w:w="45" w:type="dxa"/>
              <w:end w:w="55" w:type="dxa"/>
            </w:tcMar>
            <w:tcBorders>
              <w:bottom w:val="single" w:sz="2" w:color="EEF0F5"/>
            </w:tcBorders>
          </w:tcPr>
          <w:p>
            <w:r>
              <w:rPr>
                <w:color w:val="202333"/>
                <w:sz w:val="16"/>
              </w:rPr>
              <w:t>10. Leads, conversaciones, visitas, reservas y transacciones</w:t>
            </w:r>
          </w:p>
        </w:tc>
        <w:tc>
          <w:tcPr>
            <w:tcW w:type="dxa" w:w="5112"/>
            <w:tcMar>
              <w:top w:w="45" w:type="dxa"/>
              <w:start w:w="55" w:type="dxa"/>
              <w:bottom w:w="45" w:type="dxa"/>
              <w:end w:w="55" w:type="dxa"/>
            </w:tcMar>
            <w:tcBorders>
              <w:bottom w:val="single" w:sz="2" w:color="EEF0F5"/>
            </w:tcBorders>
          </w:tcPr>
          <w:p>
            <w:r>
              <w:rPr>
                <w:color w:val="202333"/>
                <w:sz w:val="16"/>
              </w:rPr>
              <w:t>25. Glosario</w:t>
            </w:r>
          </w:p>
        </w:tc>
      </w:tr>
      <w:tr>
        <w:tc>
          <w:tcPr>
            <w:tcW w:type="dxa" w:w="5112"/>
            <w:tcMar>
              <w:top w:w="45" w:type="dxa"/>
              <w:start w:w="55" w:type="dxa"/>
              <w:bottom w:w="45" w:type="dxa"/>
              <w:end w:w="55" w:type="dxa"/>
            </w:tcMar>
            <w:tcBorders>
              <w:bottom w:val="single" w:sz="2" w:color="EEF0F5"/>
            </w:tcBorders>
          </w:tcPr>
          <w:p>
            <w:r>
              <w:rPr>
                <w:color w:val="202333"/>
                <w:sz w:val="16"/>
              </w:rPr>
              <w:t>11. Guardados, listas y comparador</w:t>
            </w:r>
          </w:p>
        </w:tc>
        <w:tc>
          <w:tcPr>
            <w:tcW w:type="dxa" w:w="5112"/>
            <w:tcMar>
              <w:top w:w="45" w:type="dxa"/>
              <w:start w:w="55" w:type="dxa"/>
              <w:bottom w:w="45" w:type="dxa"/>
              <w:end w:w="55" w:type="dxa"/>
            </w:tcMar>
            <w:tcBorders>
              <w:bottom w:val="single" w:sz="2" w:color="EEF0F5"/>
            </w:tcBorders>
          </w:tcPr>
          <w:p>
            <w:r>
              <w:rPr>
                <w:color w:val="202333"/>
                <w:sz w:val="16"/>
              </w:rPr>
              <w:t>Anexo A. State machines conceptuales</w:t>
            </w:r>
          </w:p>
        </w:tc>
      </w:tr>
      <w:tr>
        <w:tc>
          <w:tcPr>
            <w:tcW w:type="dxa" w:w="5112"/>
            <w:tcMar>
              <w:top w:w="45" w:type="dxa"/>
              <w:start w:w="55" w:type="dxa"/>
              <w:bottom w:w="45" w:type="dxa"/>
              <w:end w:w="55" w:type="dxa"/>
            </w:tcMar>
            <w:tcBorders>
              <w:bottom w:val="single" w:sz="2" w:color="EEF0F5"/>
            </w:tcBorders>
          </w:tcPr>
          <w:p>
            <w:r>
              <w:rPr>
                <w:color w:val="202333"/>
                <w:sz w:val="16"/>
              </w:rPr>
              <w:t>12. Trust, Reputation, Reviews y Fair Housing</w:t>
            </w:r>
          </w:p>
        </w:tc>
        <w:tc>
          <w:tcPr>
            <w:tcW w:type="dxa" w:w="5112"/>
            <w:tcMar>
              <w:top w:w="45" w:type="dxa"/>
              <w:start w:w="55" w:type="dxa"/>
              <w:bottom w:w="45" w:type="dxa"/>
              <w:end w:w="55" w:type="dxa"/>
            </w:tcMar>
            <w:tcBorders>
              <w:bottom w:val="single" w:sz="2" w:color="EEF0F5"/>
            </w:tcBorders>
          </w:tcPr>
          <w:p>
            <w:r>
              <w:rPr>
                <w:color w:val="202333"/>
                <w:sz w:val="16"/>
              </w:rPr>
              <w:t>Anexo B. Matriz de permisos conceptual</w:t>
            </w:r>
          </w:p>
        </w:tc>
      </w:tr>
      <w:tr>
        <w:tc>
          <w:tcPr>
            <w:tcW w:type="dxa" w:w="5112"/>
            <w:tcMar>
              <w:top w:w="45" w:type="dxa"/>
              <w:start w:w="55" w:type="dxa"/>
              <w:bottom w:w="45" w:type="dxa"/>
              <w:end w:w="55" w:type="dxa"/>
            </w:tcMar>
            <w:tcBorders>
              <w:bottom w:val="single" w:sz="2" w:color="EEF0F5"/>
            </w:tcBorders>
          </w:tcPr>
          <w:p>
            <w:r>
              <w:rPr>
                <w:color w:val="202333"/>
                <w:sz w:val="16"/>
              </w:rPr>
              <w:t>13. Precio, moneda y Country Market Config</w:t>
            </w:r>
          </w:p>
        </w:tc>
        <w:tc>
          <w:tcPr>
            <w:tcW w:type="dxa" w:w="5112"/>
            <w:tcMar>
              <w:top w:w="45" w:type="dxa"/>
              <w:start w:w="55" w:type="dxa"/>
              <w:bottom w:w="45" w:type="dxa"/>
              <w:end w:w="55" w:type="dxa"/>
            </w:tcMar>
            <w:tcBorders>
              <w:bottom w:val="single" w:sz="2" w:color="EEF0F5"/>
            </w:tcBorders>
          </w:tcPr>
          <w:p>
            <w:r>
              <w:rPr>
                <w:color w:val="202333"/>
                <w:sz w:val="16"/>
              </w:rPr>
              <w:t>Anexo C. Referencias regulatorias de control</w:t>
            </w:r>
          </w:p>
        </w:tc>
      </w:tr>
      <w:tr>
        <w:tc>
          <w:tcPr>
            <w:tcW w:type="dxa" w:w="5112"/>
            <w:tcMar>
              <w:top w:w="45" w:type="dxa"/>
              <w:start w:w="55" w:type="dxa"/>
              <w:bottom w:w="45" w:type="dxa"/>
              <w:end w:w="55" w:type="dxa"/>
            </w:tcMar>
            <w:tcBorders>
              <w:bottom w:val="single" w:sz="2" w:color="EEF0F5"/>
            </w:tcBorders>
          </w:tcPr>
          <w:p>
            <w:r>
              <w:rPr>
                <w:color w:val="202333"/>
                <w:sz w:val="16"/>
              </w:rPr>
              <w:t>14. Kaza Insights, Data Governance y Signals</w:t>
            </w:r>
          </w:p>
        </w:tc>
        <w:tc>
          <w:tcPr>
            <w:tcW w:type="dxa" w:w="5112"/>
            <w:tcMar>
              <w:top w:w="45" w:type="dxa"/>
              <w:start w:w="55" w:type="dxa"/>
              <w:bottom w:w="45" w:type="dxa"/>
              <w:end w:w="55" w:type="dxa"/>
            </w:tcMar>
            <w:tcBorders>
              <w:bottom w:val="single" w:sz="2" w:color="EEF0F5"/>
            </w:tcBorders>
          </w:tcPr>
          <w:p>
            <w:r>
              <w:rPr>
                <w:color w:val="202333"/>
                <w:sz w:val="16"/>
              </w:rPr>
              <w:t>Anexo D. Mapa conceptual general</w:t>
            </w:r>
          </w:p>
        </w:tc>
      </w:tr>
      <w:tr>
        <w:tc>
          <w:tcPr>
            <w:tcW w:type="dxa" w:w="5112"/>
            <w:tcMar>
              <w:top w:w="45" w:type="dxa"/>
              <w:start w:w="55" w:type="dxa"/>
              <w:bottom w:w="45" w:type="dxa"/>
              <w:end w:w="55" w:type="dxa"/>
            </w:tcMar>
            <w:tcBorders>
              <w:bottom w:val="single" w:sz="2" w:color="EEF0F5"/>
            </w:tcBorders>
          </w:tcPr>
          <w:p>
            <w:r>
              <w:rPr>
                <w:color w:val="202333"/>
                <w:sz w:val="16"/>
              </w:rPr>
              <w:t>15. IA, Imagina y Kaza Score</w:t>
            </w:r>
          </w:p>
        </w:tc>
        <w:tc>
          <w:tcPr>
            <w:tcW w:type="dxa" w:w="5112"/>
          </w:tcPr>
          <w:p/>
        </w:tc>
      </w:tr>
    </w:tbl>
    <w:p>
      <w:r>
        <w:br w:type="page"/>
      </w:r>
    </w:p>
    <w:p>
      <w:pPr>
        <w:pStyle w:val="Heading1"/>
      </w:pPr>
      <w:r>
        <w:t>1. Resumen ejecutivo</w:t>
      </w:r>
    </w:p>
    <w:p>
      <w:pPr>
        <w:pStyle w:val="KazaLead"/>
      </w:pPr>
      <w:r>
        <w:t>Kaza es un marketplace inmobiliario map-first diseñado como un sistema de decisión y operación, no como un portal de anuncios tradicional. Su arquitectura separa rigurosamente el activo físico, su episodio comercial, la publicación, los actores y la operación.</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86E25"/>
            <w:tcMar>
              <w:top w:w="110" w:type="dxa"/>
              <w:start w:w="80" w:type="dxa"/>
              <w:bottom w:w="110" w:type="dxa"/>
              <w:end w:w="80" w:type="dxa"/>
            </w:tcMar>
          </w:tcPr>
          <w:p>
            <w:pPr>
              <w:jc w:val="center"/>
            </w:pPr>
            <w:r>
              <w:rPr>
                <w:b/>
                <w:color w:val="FFFFFF"/>
                <w:sz w:val="16"/>
              </w:rPr>
              <w:t>PROPERTY</w:t>
            </w:r>
          </w:p>
        </w:tc>
        <w:tc>
          <w:tcPr>
            <w:tcW w:type="dxa" w:w="2556"/>
            <w:shd w:fill="C68A2A"/>
            <w:tcMar>
              <w:top w:w="110" w:type="dxa"/>
              <w:start w:w="80" w:type="dxa"/>
              <w:bottom w:w="110" w:type="dxa"/>
              <w:end w:w="80" w:type="dxa"/>
            </w:tcMar>
          </w:tcPr>
          <w:p>
            <w:pPr>
              <w:jc w:val="center"/>
            </w:pPr>
            <w:r>
              <w:rPr>
                <w:b/>
                <w:color w:val="FFFFFF"/>
                <w:sz w:val="16"/>
              </w:rPr>
              <w:t>MARKET CYCLE</w:t>
            </w:r>
          </w:p>
        </w:tc>
        <w:tc>
          <w:tcPr>
            <w:tcW w:type="dxa" w:w="2556"/>
            <w:shd w:fill="2F65C8"/>
            <w:tcMar>
              <w:top w:w="110" w:type="dxa"/>
              <w:start w:w="80" w:type="dxa"/>
              <w:bottom w:w="110" w:type="dxa"/>
              <w:end w:w="80" w:type="dxa"/>
            </w:tcMar>
          </w:tcPr>
          <w:p>
            <w:pPr>
              <w:jc w:val="center"/>
            </w:pPr>
            <w:r>
              <w:rPr>
                <w:b/>
                <w:color w:val="FFFFFF"/>
                <w:sz w:val="16"/>
              </w:rPr>
              <w:t>LISTING</w:t>
            </w:r>
          </w:p>
        </w:tc>
        <w:tc>
          <w:tcPr>
            <w:tcW w:type="dxa" w:w="2556"/>
            <w:shd w:fill="C84A4A"/>
            <w:tcMar>
              <w:top w:w="110" w:type="dxa"/>
              <w:start w:w="80" w:type="dxa"/>
              <w:bottom w:w="110" w:type="dxa"/>
              <w:end w:w="80" w:type="dxa"/>
            </w:tcMar>
          </w:tcPr>
          <w:p>
            <w:pPr>
              <w:jc w:val="center"/>
            </w:pPr>
            <w:r>
              <w:rPr>
                <w:b/>
                <w:color w:val="FFFFFF"/>
                <w:sz w:val="16"/>
              </w:rPr>
              <w:t>TRANSACTION</w:t>
            </w:r>
          </w:p>
        </w:tc>
      </w:tr>
      <w:tr>
        <w:tc>
          <w:tcPr>
            <w:tcW w:type="dxa" w:w="2556"/>
            <w:shd w:fill="F8F9FC"/>
            <w:tcMar>
              <w:top w:w="110" w:type="dxa"/>
              <w:start w:w="80" w:type="dxa"/>
              <w:bottom w:w="110" w:type="dxa"/>
              <w:end w:w="80" w:type="dxa"/>
            </w:tcMar>
          </w:tcPr>
          <w:p>
            <w:pPr>
              <w:jc w:val="center"/>
            </w:pPr>
            <w:r>
              <w:rPr>
                <w:color w:val="202333"/>
                <w:sz w:val="16"/>
              </w:rPr>
              <w:t>Activo permanente</w:t>
            </w:r>
          </w:p>
        </w:tc>
        <w:tc>
          <w:tcPr>
            <w:tcW w:type="dxa" w:w="2556"/>
            <w:shd w:fill="F8F9FC"/>
            <w:tcMar>
              <w:top w:w="110" w:type="dxa"/>
              <w:start w:w="80" w:type="dxa"/>
              <w:bottom w:w="110" w:type="dxa"/>
              <w:end w:w="80" w:type="dxa"/>
            </w:tcMar>
          </w:tcPr>
          <w:p>
            <w:pPr>
              <w:jc w:val="center"/>
            </w:pPr>
            <w:r>
              <w:rPr>
                <w:color w:val="202333"/>
                <w:sz w:val="16"/>
              </w:rPr>
              <w:t>Episodio comercial</w:t>
            </w:r>
          </w:p>
        </w:tc>
        <w:tc>
          <w:tcPr>
            <w:tcW w:type="dxa" w:w="2556"/>
            <w:shd w:fill="F8F9FC"/>
            <w:tcMar>
              <w:top w:w="110" w:type="dxa"/>
              <w:start w:w="80" w:type="dxa"/>
              <w:bottom w:w="110" w:type="dxa"/>
              <w:end w:w="80" w:type="dxa"/>
            </w:tcMar>
          </w:tcPr>
          <w:p>
            <w:pPr>
              <w:jc w:val="center"/>
            </w:pPr>
            <w:r>
              <w:rPr>
                <w:color w:val="202333"/>
                <w:sz w:val="16"/>
              </w:rPr>
              <w:t>Publicación</w:t>
            </w:r>
          </w:p>
        </w:tc>
        <w:tc>
          <w:tcPr>
            <w:tcW w:type="dxa" w:w="2556"/>
            <w:shd w:fill="F8F9FC"/>
            <w:tcMar>
              <w:top w:w="110" w:type="dxa"/>
              <w:start w:w="80" w:type="dxa"/>
              <w:bottom w:w="110" w:type="dxa"/>
              <w:end w:w="80" w:type="dxa"/>
            </w:tcMar>
          </w:tcPr>
          <w:p>
            <w:pPr>
              <w:jc w:val="center"/>
            </w:pPr>
            <w:r>
              <w:rPr>
                <w:color w:val="202333"/>
                <w:sz w:val="16"/>
              </w:rPr>
              <w:t>Hecho de mercado</w:t>
            </w:r>
          </w:p>
        </w:tc>
      </w:tr>
    </w:tbl>
    <w:p>
      <w:r>
        <w:rPr>
          <w:b/>
        </w:rPr>
        <w:t xml:space="preserve">La arquitectura funcional se apoya en cuatro ideas: </w:t>
      </w:r>
      <w:r>
        <w:t>un solo núcleo global, configuración local por mercado, trazabilidad de decisiones y privacidad por diseño. El sistema está preparado para crecer internacionalmente sin asumir que una regla boliviana es universal ni que una función futura puede activarse sin revisar su impacto regulatorio.</w:t>
      </w:r>
    </w:p>
    <w:p>
      <w:pPr>
        <w:jc w:val="center"/>
      </w:pPr>
      <w:r>
        <w:drawing>
          <wp:inline xmlns:a="http://schemas.openxmlformats.org/drawingml/2006/main" xmlns:pic="http://schemas.openxmlformats.org/drawingml/2006/picture">
            <wp:extent cx="6263640" cy="1144054"/>
            <wp:docPr id="1" name="Picture 1" descr="Diagrama del dominio central de Kaza: Property, MarketCycle, Listing, Controller, colaboradores, Leads, visitas, reservas y Transaction." title="Diagrama del dominio central de Kaza"/>
            <wp:cNvGraphicFramePr>
              <a:graphicFrameLocks noChangeAspect="1"/>
            </wp:cNvGraphicFramePr>
            <a:graphic>
              <a:graphicData uri="http://schemas.openxmlformats.org/drawingml/2006/picture">
                <pic:pic>
                  <pic:nvPicPr>
                    <pic:cNvPr id="0" name="core_domain.png"/>
                    <pic:cNvPicPr/>
                  </pic:nvPicPr>
                  <pic:blipFill>
                    <a:blip r:embed="rId11"/>
                    <a:stretch>
                      <a:fillRect/>
                    </a:stretch>
                  </pic:blipFill>
                  <pic:spPr>
                    <a:xfrm>
                      <a:off x="0" y="0"/>
                      <a:ext cx="6263640" cy="1144054"/>
                    </a:xfrm>
                    <a:prstGeom prst="rect"/>
                  </pic:spPr>
                </pic:pic>
              </a:graphicData>
            </a:graphic>
          </wp:inline>
        </w:drawing>
      </w:r>
    </w:p>
    <w:p>
      <w:pPr>
        <w:pStyle w:val="KazaNote"/>
        <w:jc w:val="center"/>
      </w:pPr>
      <w:r>
        <w:t>Figura 1. Dominio central de Kaza.</w:t>
      </w:r>
    </w:p>
    <w:p>
      <w:pPr>
        <w:pStyle w:val="Heading1"/>
      </w:pPr>
      <w:r>
        <w:t>2. Visión, propuesta de valor y principios</w:t>
      </w:r>
    </w:p>
    <w:p>
      <w:pPr>
        <w:pStyle w:val="Heading2"/>
      </w:pPr>
      <w:r>
        <w:t>Qué es Kaza</w:t>
      </w:r>
    </w:p>
    <w:p>
      <w:r>
        <w:t>Un “mapa inmobiliario vivo” que ayuda a descubrir, entender, comparar, contactar y avanzar una operación sin convertir la atención del usuario en inventario publicitario.</w:t>
      </w:r>
    </w:p>
    <w:p>
      <w:pPr>
        <w:pStyle w:val="Heading2"/>
      </w:pPr>
      <w:r>
        <w:t>Promesa de producto</w:t>
      </w:r>
    </w:p>
    <w:p>
      <w:r>
        <w:t>Kaza no debe mostrar más información por acumularla; debe presentar la información necesaria, con suficiente contexto y trazabilidad para decidir mejor.</w:t>
      </w:r>
    </w:p>
    <w:p>
      <w:pPr>
        <w:pStyle w:val="Heading2"/>
      </w:pPr>
      <w:r>
        <w:t>Modelo de confianza</w:t>
      </w:r>
    </w:p>
    <w:p>
      <w:r>
        <w:t>La confianza se deriva de identidad, comportamiento y evidencia; nunca del plan comercial.</w:t>
      </w:r>
    </w:p>
    <w:p>
      <w:pPr>
        <w:pStyle w:val="Heading2"/>
      </w:pPr>
      <w:r>
        <w:t>Internacionalización</w:t>
      </w:r>
    </w:p>
    <w:p>
      <w:r>
        <w:t>La arquitectura es global. La habilitación comercial es local y depende de un Market Launch Compliance Gate.</w:t>
      </w:r>
    </w:p>
    <w:p>
      <w:pPr>
        <w:pStyle w:val="KazaPrinciple"/>
      </w:pPr>
      <w:r>
        <w:t>• Kaza no monetiza la atención; monetiza el valor que genera alrededor de una operación inmobiliaria.</w:t>
      </w:r>
    </w:p>
    <w:p>
      <w:pPr>
        <w:pStyle w:val="KazaPrinciple"/>
      </w:pPr>
      <w:r>
        <w:t>• La app debe funcionar sin IA; la IA es transversal y explicable.</w:t>
      </w:r>
    </w:p>
    <w:p>
      <w:pPr>
        <w:pStyle w:val="KazaPrinciple"/>
      </w:pPr>
      <w:r>
        <w:t>• Listing ≠ Property ≠ Availability ≠ Transaction.</w:t>
      </w:r>
    </w:p>
    <w:p>
      <w:pPr>
        <w:pStyle w:val="KazaPrinciple"/>
      </w:pPr>
      <w:r>
        <w:t>• Controller ≠ propietario legal; Collaboration ≠ mandato.</w:t>
      </w:r>
    </w:p>
    <w:p>
      <w:pPr>
        <w:pStyle w:val="KazaPrinciple"/>
      </w:pPr>
      <w:r>
        <w:t>• Pagar compra herramientas o exposición; nunca Trust, Reputation o garantía de cierre.</w:t>
      </w:r>
    </w:p>
    <w:p>
      <w:pPr>
        <w:pStyle w:val="KazaPrinciple"/>
      </w:pPr>
      <w:r>
        <w:t>• Ante incertidumbre de identidad, disponibilidad o datos, Kaza conserva la incertidumbre antes de inventar certeza.</w:t>
      </w:r>
    </w:p>
    <w:p>
      <w:pPr>
        <w:pStyle w:val="KazaPrinciple"/>
      </w:pPr>
      <w:r>
        <w:t>• La privacidad se protege por arquitectura, no solamente por una política escrita.</w:t>
      </w:r>
    </w:p>
    <w:p>
      <w:pPr>
        <w:pStyle w:val="Heading1"/>
      </w:pPr>
      <w:r>
        <w:t>3. Arquitectura general del producto</w:t>
      </w:r>
    </w:p>
    <w:p>
      <w:r>
        <w:t>La experiencia pública y profesional se articula alrededor del mismo dominio, pero con distintos permisos y niveles de profundidad. El front app mantiene una navegación simple mientras la complejidad vive en el modelo de datos, Workspaces, Admin y configuraciones de mercado.</w:t>
      </w:r>
    </w:p>
    <w:p>
      <w:pPr>
        <w:jc w:val="center"/>
      </w:pPr>
      <w:r>
        <w:drawing>
          <wp:inline xmlns:a="http://schemas.openxmlformats.org/drawingml/2006/main" xmlns:pic="http://schemas.openxmlformats.org/drawingml/2006/picture">
            <wp:extent cx="6126480" cy="1171486"/>
            <wp:docPr id="2" name="Picture 2" descr="Diagrama de configuración por mercado de Kaza: operaciones, geografía, legal, billing, edad, contratos y gates de lanzamiento." title="Diagrama de configuración por mercado de Kaza"/>
            <wp:cNvGraphicFramePr>
              <a:graphicFrameLocks noChangeAspect="1"/>
            </wp:cNvGraphicFramePr>
            <a:graphic>
              <a:graphicData uri="http://schemas.openxmlformats.org/drawingml/2006/picture">
                <pic:pic>
                  <pic:nvPicPr>
                    <pic:cNvPr id="0" name="ecosystem.png"/>
                    <pic:cNvPicPr/>
                  </pic:nvPicPr>
                  <pic:blipFill>
                    <a:blip r:embed="rId12"/>
                    <a:stretch>
                      <a:fillRect/>
                    </a:stretch>
                  </pic:blipFill>
                  <pic:spPr>
                    <a:xfrm>
                      <a:off x="0" y="0"/>
                      <a:ext cx="6126480" cy="1171486"/>
                    </a:xfrm>
                    <a:prstGeom prst="rect"/>
                  </pic:spPr>
                </pic:pic>
              </a:graphicData>
            </a:graphic>
          </wp:inline>
        </w:drawing>
      </w:r>
    </w:p>
    <w:p>
      <w:pPr>
        <w:pStyle w:val="KazaNote"/>
        <w:jc w:val="center"/>
      </w:pPr>
      <w:r>
        <w:t>Figura 2. Ecosistema de productos y monetización.</w:t>
      </w:r>
    </w:p>
    <w:p>
      <w:pPr>
        <w:pStyle w:val="Heading2"/>
      </w:pPr>
      <w:r>
        <w:t>3.1 Capas del sistema</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24245E"/>
          </w:tcPr>
          <w:p>
            <w:r>
              <w:rPr>
                <w:b/>
                <w:color w:val="FFFFFF"/>
                <w:sz w:val="17"/>
              </w:rPr>
              <w:t>Capa</w:t>
            </w:r>
          </w:p>
        </w:tc>
        <w:tc>
          <w:tcPr>
            <w:tcW w:type="dxa" w:w="3408"/>
            <w:shd w:fill="24245E"/>
          </w:tcPr>
          <w:p>
            <w:r>
              <w:rPr>
                <w:b/>
                <w:color w:val="FFFFFF"/>
                <w:sz w:val="17"/>
              </w:rPr>
              <w:t>Responsabilidad</w:t>
            </w:r>
          </w:p>
        </w:tc>
        <w:tc>
          <w:tcPr>
            <w:tcW w:type="dxa" w:w="3408"/>
            <w:shd w:fill="24245E"/>
          </w:tcPr>
          <w:p>
            <w:r>
              <w:rPr>
                <w:b/>
                <w:color w:val="FFFFFF"/>
                <w:sz w:val="17"/>
              </w:rPr>
              <w:t>Ejemplos</w:t>
            </w:r>
          </w:p>
        </w:tc>
      </w:tr>
      <w:tr>
        <w:trPr>
          <w:cantSplit/>
        </w:trPr>
        <w:tc>
          <w:tcPr>
            <w:tcW w:type="dxa" w:w="3408"/>
            <w:tcMar>
              <w:top w:w="85" w:type="dxa"/>
              <w:start w:w="85" w:type="dxa"/>
              <w:bottom w:w="85" w:type="dxa"/>
              <w:end w:w="85" w:type="dxa"/>
            </w:tcMar>
          </w:tcPr>
          <w:p>
            <w:r>
              <w:rPr>
                <w:sz w:val="16"/>
              </w:rPr>
              <w:t>Experiencia</w:t>
            </w:r>
          </w:p>
        </w:tc>
        <w:tc>
          <w:tcPr>
            <w:tcW w:type="dxa" w:w="3408"/>
            <w:tcMar>
              <w:top w:w="85" w:type="dxa"/>
              <w:start w:w="85" w:type="dxa"/>
              <w:bottom w:w="85" w:type="dxa"/>
              <w:end w:w="85" w:type="dxa"/>
            </w:tcMar>
          </w:tcPr>
          <w:p>
            <w:r>
              <w:rPr>
                <w:sz w:val="16"/>
              </w:rPr>
              <w:t>Descubrir, decidir y gestionar</w:t>
            </w:r>
          </w:p>
        </w:tc>
        <w:tc>
          <w:tcPr>
            <w:tcW w:type="dxa" w:w="3408"/>
            <w:tcMar>
              <w:top w:w="85" w:type="dxa"/>
              <w:start w:w="85" w:type="dxa"/>
              <w:bottom w:w="85" w:type="dxa"/>
              <w:end w:w="85" w:type="dxa"/>
            </w:tcMar>
          </w:tcPr>
          <w:p>
            <w:r>
              <w:rPr>
                <w:sz w:val="16"/>
              </w:rPr>
              <w:t>Mapa, Property Detail, Guardados, Mensajes, Perfil</w:t>
            </w:r>
          </w:p>
        </w:tc>
      </w:tr>
      <w:tr>
        <w:trPr>
          <w:cantSplit/>
        </w:trPr>
        <w:tc>
          <w:tcPr>
            <w:tcW w:type="dxa" w:w="3408"/>
            <w:tcMar>
              <w:top w:w="85" w:type="dxa"/>
              <w:start w:w="85" w:type="dxa"/>
              <w:bottom w:w="85" w:type="dxa"/>
              <w:end w:w="85" w:type="dxa"/>
            </w:tcMar>
          </w:tcPr>
          <w:p>
            <w:r>
              <w:rPr>
                <w:sz w:val="16"/>
              </w:rPr>
              <w:t>Dominio</w:t>
            </w:r>
          </w:p>
        </w:tc>
        <w:tc>
          <w:tcPr>
            <w:tcW w:type="dxa" w:w="3408"/>
            <w:tcMar>
              <w:top w:w="85" w:type="dxa"/>
              <w:start w:w="85" w:type="dxa"/>
              <w:bottom w:w="85" w:type="dxa"/>
              <w:end w:w="85" w:type="dxa"/>
            </w:tcMar>
          </w:tcPr>
          <w:p>
            <w:r>
              <w:rPr>
                <w:sz w:val="16"/>
              </w:rPr>
              <w:t>Fuente de verdad funcional</w:t>
            </w:r>
          </w:p>
        </w:tc>
        <w:tc>
          <w:tcPr>
            <w:tcW w:type="dxa" w:w="3408"/>
            <w:tcMar>
              <w:top w:w="85" w:type="dxa"/>
              <w:start w:w="85" w:type="dxa"/>
              <w:bottom w:w="85" w:type="dxa"/>
              <w:end w:w="85" w:type="dxa"/>
            </w:tcMar>
          </w:tcPr>
          <w:p>
            <w:r>
              <w:rPr>
                <w:sz w:val="16"/>
              </w:rPr>
              <w:t>Property, MarketCycle, Listing, Transaction</w:t>
            </w:r>
          </w:p>
        </w:tc>
      </w:tr>
      <w:tr>
        <w:trPr>
          <w:cantSplit/>
        </w:trPr>
        <w:tc>
          <w:tcPr>
            <w:tcW w:type="dxa" w:w="3408"/>
            <w:tcMar>
              <w:top w:w="85" w:type="dxa"/>
              <w:start w:w="85" w:type="dxa"/>
              <w:bottom w:w="85" w:type="dxa"/>
              <w:end w:w="85" w:type="dxa"/>
            </w:tcMar>
          </w:tcPr>
          <w:p>
            <w:r>
              <w:rPr>
                <w:sz w:val="16"/>
              </w:rPr>
              <w:t>Actores</w:t>
            </w:r>
          </w:p>
        </w:tc>
        <w:tc>
          <w:tcPr>
            <w:tcW w:type="dxa" w:w="3408"/>
            <w:tcMar>
              <w:top w:w="85" w:type="dxa"/>
              <w:start w:w="85" w:type="dxa"/>
              <w:bottom w:w="85" w:type="dxa"/>
              <w:end w:w="85" w:type="dxa"/>
            </w:tcMar>
          </w:tcPr>
          <w:p>
            <w:r>
              <w:rPr>
                <w:sz w:val="16"/>
              </w:rPr>
              <w:t>Control y participación</w:t>
            </w:r>
          </w:p>
        </w:tc>
        <w:tc>
          <w:tcPr>
            <w:tcW w:type="dxa" w:w="3408"/>
            <w:tcMar>
              <w:top w:w="85" w:type="dxa"/>
              <w:start w:w="85" w:type="dxa"/>
              <w:bottom w:w="85" w:type="dxa"/>
              <w:end w:w="85" w:type="dxa"/>
            </w:tcMar>
          </w:tcPr>
          <w:p>
            <w:r>
              <w:rPr>
                <w:sz w:val="16"/>
              </w:rPr>
              <w:t>User, Organization, Controller, Collaborator</w:t>
            </w:r>
          </w:p>
        </w:tc>
      </w:tr>
      <w:tr>
        <w:trPr>
          <w:cantSplit/>
        </w:trPr>
        <w:tc>
          <w:tcPr>
            <w:tcW w:type="dxa" w:w="3408"/>
            <w:tcMar>
              <w:top w:w="85" w:type="dxa"/>
              <w:start w:w="85" w:type="dxa"/>
              <w:bottom w:w="85" w:type="dxa"/>
              <w:end w:w="85" w:type="dxa"/>
            </w:tcMar>
          </w:tcPr>
          <w:p>
            <w:r>
              <w:rPr>
                <w:sz w:val="16"/>
              </w:rPr>
              <w:t>Operación</w:t>
            </w:r>
          </w:p>
        </w:tc>
        <w:tc>
          <w:tcPr>
            <w:tcW w:type="dxa" w:w="3408"/>
            <w:tcMar>
              <w:top w:w="85" w:type="dxa"/>
              <w:start w:w="85" w:type="dxa"/>
              <w:bottom w:w="85" w:type="dxa"/>
              <w:end w:w="85" w:type="dxa"/>
            </w:tcMar>
          </w:tcPr>
          <w:p>
            <w:r>
              <w:rPr>
                <w:sz w:val="16"/>
              </w:rPr>
              <w:t>Avance comercial</w:t>
            </w:r>
          </w:p>
        </w:tc>
        <w:tc>
          <w:tcPr>
            <w:tcW w:type="dxa" w:w="3408"/>
            <w:tcMar>
              <w:top w:w="85" w:type="dxa"/>
              <w:start w:w="85" w:type="dxa"/>
              <w:bottom w:w="85" w:type="dxa"/>
              <w:end w:w="85" w:type="dxa"/>
            </w:tcMar>
          </w:tcPr>
          <w:p>
            <w:r>
              <w:rPr>
                <w:sz w:val="16"/>
              </w:rPr>
              <w:t>Lead, Visit, Reservation, Transaction</w:t>
            </w:r>
          </w:p>
        </w:tc>
      </w:tr>
      <w:tr>
        <w:trPr>
          <w:cantSplit/>
        </w:trPr>
        <w:tc>
          <w:tcPr>
            <w:tcW w:type="dxa" w:w="3408"/>
            <w:tcMar>
              <w:top w:w="85" w:type="dxa"/>
              <w:start w:w="85" w:type="dxa"/>
              <w:bottom w:w="85" w:type="dxa"/>
              <w:end w:w="85" w:type="dxa"/>
            </w:tcMar>
          </w:tcPr>
          <w:p>
            <w:r>
              <w:rPr>
                <w:sz w:val="16"/>
              </w:rPr>
              <w:t>Confianza</w:t>
            </w:r>
          </w:p>
        </w:tc>
        <w:tc>
          <w:tcPr>
            <w:tcW w:type="dxa" w:w="3408"/>
            <w:tcMar>
              <w:top w:w="85" w:type="dxa"/>
              <w:start w:w="85" w:type="dxa"/>
              <w:bottom w:w="85" w:type="dxa"/>
              <w:end w:w="85" w:type="dxa"/>
            </w:tcMar>
          </w:tcPr>
          <w:p>
            <w:r>
              <w:rPr>
                <w:sz w:val="16"/>
              </w:rPr>
              <w:t>Legitimidad y comportamiento</w:t>
            </w:r>
          </w:p>
        </w:tc>
        <w:tc>
          <w:tcPr>
            <w:tcW w:type="dxa" w:w="3408"/>
            <w:tcMar>
              <w:top w:w="85" w:type="dxa"/>
              <w:start w:w="85" w:type="dxa"/>
              <w:bottom w:w="85" w:type="dxa"/>
              <w:end w:w="85" w:type="dxa"/>
            </w:tcMar>
          </w:tcPr>
          <w:p>
            <w:r>
              <w:rPr>
                <w:sz w:val="16"/>
              </w:rPr>
              <w:t>Trust, Reputation, Reviews, Moderation</w:t>
            </w:r>
          </w:p>
        </w:tc>
      </w:tr>
      <w:tr>
        <w:trPr>
          <w:cantSplit/>
        </w:trPr>
        <w:tc>
          <w:tcPr>
            <w:tcW w:type="dxa" w:w="3408"/>
            <w:tcMar>
              <w:top w:w="85" w:type="dxa"/>
              <w:start w:w="85" w:type="dxa"/>
              <w:bottom w:w="85" w:type="dxa"/>
              <w:end w:w="85" w:type="dxa"/>
            </w:tcMar>
          </w:tcPr>
          <w:p>
            <w:r>
              <w:rPr>
                <w:sz w:val="16"/>
              </w:rPr>
              <w:t>Negocio</w:t>
            </w:r>
          </w:p>
        </w:tc>
        <w:tc>
          <w:tcPr>
            <w:tcW w:type="dxa" w:w="3408"/>
            <w:tcMar>
              <w:top w:w="85" w:type="dxa"/>
              <w:start w:w="85" w:type="dxa"/>
              <w:bottom w:w="85" w:type="dxa"/>
              <w:end w:w="85" w:type="dxa"/>
            </w:tcMar>
          </w:tcPr>
          <w:p>
            <w:r>
              <w:rPr>
                <w:sz w:val="16"/>
              </w:rPr>
              <w:t>Monetización y servicios</w:t>
            </w:r>
          </w:p>
        </w:tc>
        <w:tc>
          <w:tcPr>
            <w:tcW w:type="dxa" w:w="3408"/>
            <w:tcMar>
              <w:top w:w="85" w:type="dxa"/>
              <w:start w:w="85" w:type="dxa"/>
              <w:bottom w:w="85" w:type="dxa"/>
              <w:end w:w="85" w:type="dxa"/>
            </w:tcMar>
          </w:tcPr>
          <w:p>
            <w:r>
              <w:rPr>
                <w:sz w:val="16"/>
              </w:rPr>
              <w:t>Plus, Pro, Inmobiliaria, Projects, Media, Insights</w:t>
            </w:r>
          </w:p>
        </w:tc>
      </w:tr>
      <w:tr>
        <w:trPr>
          <w:cantSplit/>
        </w:trPr>
        <w:tc>
          <w:tcPr>
            <w:tcW w:type="dxa" w:w="3408"/>
            <w:tcMar>
              <w:top w:w="85" w:type="dxa"/>
              <w:start w:w="85" w:type="dxa"/>
              <w:bottom w:w="85" w:type="dxa"/>
              <w:end w:w="85" w:type="dxa"/>
            </w:tcMar>
          </w:tcPr>
          <w:p>
            <w:r>
              <w:rPr>
                <w:sz w:val="16"/>
              </w:rPr>
              <w:t>Gobierno</w:t>
            </w:r>
          </w:p>
        </w:tc>
        <w:tc>
          <w:tcPr>
            <w:tcW w:type="dxa" w:w="3408"/>
            <w:tcMar>
              <w:top w:w="85" w:type="dxa"/>
              <w:start w:w="85" w:type="dxa"/>
              <w:bottom w:w="85" w:type="dxa"/>
              <w:end w:w="85" w:type="dxa"/>
            </w:tcMar>
          </w:tcPr>
          <w:p>
            <w:r>
              <w:rPr>
                <w:sz w:val="16"/>
              </w:rPr>
              <w:t>Reglas y cumplimiento</w:t>
            </w:r>
          </w:p>
        </w:tc>
        <w:tc>
          <w:tcPr>
            <w:tcW w:type="dxa" w:w="3408"/>
            <w:tcMar>
              <w:top w:w="85" w:type="dxa"/>
              <w:start w:w="85" w:type="dxa"/>
              <w:bottom w:w="85" w:type="dxa"/>
              <w:end w:w="85" w:type="dxa"/>
            </w:tcMar>
          </w:tcPr>
          <w:p>
            <w:r>
              <w:rPr>
                <w:sz w:val="16"/>
              </w:rPr>
              <w:t>Admin, Audit, Legal Market Config, Store/Market Gates</w:t>
            </w:r>
          </w:p>
        </w:tc>
      </w:tr>
    </w:tbl>
    <w:p>
      <w:pPr>
        <w:pStyle w:val="Heading1"/>
      </w:pPr>
      <w:r>
        <w:t>4. Navegación y experiencia base</w:t>
      </w:r>
    </w:p>
    <w:p>
      <w:r>
        <w:t>La barra inferior oficial mantiene cinco destinos:</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F0F2F8"/>
            <w:tcMar>
              <w:top w:w="130" w:type="dxa"/>
              <w:start w:w="50" w:type="dxa"/>
              <w:bottom w:w="130" w:type="dxa"/>
              <w:end w:w="50" w:type="dxa"/>
            </w:tcMar>
          </w:tcPr>
          <w:p>
            <w:pPr>
              <w:jc w:val="center"/>
            </w:pPr>
            <w:r>
              <w:rPr>
                <w:b/>
                <w:color w:val="24245E"/>
                <w:sz w:val="16"/>
              </w:rPr>
              <w:t>MAPA</w:t>
            </w:r>
          </w:p>
        </w:tc>
        <w:tc>
          <w:tcPr>
            <w:tcW w:type="dxa" w:w="2045"/>
            <w:shd w:fill="F0F2F8"/>
            <w:tcMar>
              <w:top w:w="130" w:type="dxa"/>
              <w:start w:w="50" w:type="dxa"/>
              <w:bottom w:w="130" w:type="dxa"/>
              <w:end w:w="50" w:type="dxa"/>
            </w:tcMar>
          </w:tcPr>
          <w:p>
            <w:pPr>
              <w:jc w:val="center"/>
            </w:pPr>
            <w:r>
              <w:rPr>
                <w:b/>
                <w:color w:val="24245E"/>
                <w:sz w:val="16"/>
              </w:rPr>
              <w:t>GUARDADOS</w:t>
            </w:r>
          </w:p>
        </w:tc>
        <w:tc>
          <w:tcPr>
            <w:tcW w:type="dxa" w:w="2045"/>
            <w:shd w:fill="EDE8FA"/>
            <w:tcMar>
              <w:top w:w="130" w:type="dxa"/>
              <w:start w:w="50" w:type="dxa"/>
              <w:bottom w:w="130" w:type="dxa"/>
              <w:end w:w="50" w:type="dxa"/>
            </w:tcMar>
          </w:tcPr>
          <w:p>
            <w:pPr>
              <w:jc w:val="center"/>
            </w:pPr>
            <w:r>
              <w:rPr>
                <w:b/>
                <w:color w:val="5B3DA0"/>
                <w:sz w:val="16"/>
              </w:rPr>
              <w:t>+ PUBLICAR</w:t>
            </w:r>
          </w:p>
        </w:tc>
        <w:tc>
          <w:tcPr>
            <w:tcW w:type="dxa" w:w="2045"/>
            <w:shd w:fill="F0F2F8"/>
            <w:tcMar>
              <w:top w:w="130" w:type="dxa"/>
              <w:start w:w="50" w:type="dxa"/>
              <w:bottom w:w="130" w:type="dxa"/>
              <w:end w:w="50" w:type="dxa"/>
            </w:tcMar>
          </w:tcPr>
          <w:p>
            <w:pPr>
              <w:jc w:val="center"/>
            </w:pPr>
            <w:r>
              <w:rPr>
                <w:b/>
                <w:color w:val="24245E"/>
                <w:sz w:val="16"/>
              </w:rPr>
              <w:t>MENSAJES</w:t>
            </w:r>
          </w:p>
        </w:tc>
        <w:tc>
          <w:tcPr>
            <w:tcW w:type="dxa" w:w="2045"/>
            <w:shd w:fill="F0F2F8"/>
            <w:tcMar>
              <w:top w:w="130" w:type="dxa"/>
              <w:start w:w="50" w:type="dxa"/>
              <w:bottom w:w="130" w:type="dxa"/>
              <w:end w:w="50" w:type="dxa"/>
            </w:tcMar>
          </w:tcPr>
          <w:p>
            <w:pPr>
              <w:jc w:val="center"/>
            </w:pPr>
            <w:r>
              <w:rPr>
                <w:b/>
                <w:color w:val="24245E"/>
                <w:sz w:val="16"/>
              </w:rPr>
              <w:t>PERFIL</w:t>
            </w:r>
          </w:p>
        </w:tc>
      </w:tr>
    </w:tbl>
    <w:p>
      <w:r>
        <w:t>Mapa funciona como Home. Comparador, AI, Finance, Insights, Collaboration y Operations no son tabs principales: aparecen contextualmente dentro de journeys relevantes.</w:t>
      </w:r>
    </w:p>
    <w:p>
      <w:pPr>
        <w:pStyle w:val="Heading2"/>
      </w:pPr>
      <w:r>
        <w:t>4.1 Registro progresivo</w:t>
      </w:r>
    </w:p>
    <w:p>
      <w:r>
        <w:t>El usuario puede explorar mapa, filtros, Properties, Entorno e Insights públicos sin cuenta. La autenticación se solicita cuando desea conservar o avanzar: guardar, enviar mensaje, solicitar visita, publicar, seguir un Project, recibir alertas o gestionar un Workspace.</w:t>
      </w:r>
    </w:p>
    <w:p>
      <w:pPr>
        <w:pStyle w:val="KazaPrinciple"/>
      </w:pPr>
      <w:r>
        <w:t>Explora primero; regístrate cuando necesites conservar o avanzar.</w:t>
      </w:r>
    </w:p>
    <w:p>
      <w:pPr>
        <w:pStyle w:val="Heading1"/>
      </w:pPr>
      <w:r>
        <w:t>5. Mapa, búsqueda, Entorno y geografía</w:t>
      </w:r>
    </w:p>
    <w:p>
      <w:pPr>
        <w:pStyle w:val="Heading2"/>
      </w:pPr>
      <w:r>
        <w:t>5.1 Mapa map-first</w:t>
      </w:r>
    </w:p>
    <w:p>
      <w:r>
        <w:t>• Buscar ciudad, barrio, zona, avenida, condominio, edificio, dirección o Project.</w:t>
      </w:r>
    </w:p>
    <w:p>
      <w:r>
        <w:t>• Cerca de mí con radios 500 m / 1 km / 2 km / 5 km.</w:t>
      </w:r>
    </w:p>
    <w:p>
      <w:r>
        <w:t>• “Buscar en esta zona” después de mover el mapa.</w:t>
      </w:r>
    </w:p>
    <w:p>
      <w:r>
        <w:t>• Dibujar polígono y guardar búsqueda/zona.</w:t>
      </w:r>
    </w:p>
    <w:p>
      <w:r>
        <w:t>• Clusters geográficos separados de building/parcel stacks y de candidatos a duplicado.</w:t>
      </w:r>
    </w:p>
    <w:p>
      <w:r>
        <w:t>• Volver desde Property Detail debe restaurar viewport, filtros y selección.</w:t>
      </w:r>
    </w:p>
    <w:p>
      <w:pPr>
        <w:pStyle w:val="Heading2"/>
      </w:pPr>
      <w:r>
        <w:t>5.2 Entorno</w:t>
      </w:r>
    </w:p>
    <w:p>
      <w:r>
        <w:t>Entorno añade POIs y contexto territorial sin eliminar Properties. Las categorías rápidas incluyen Educación, Salud, Supermercados/Farmacias y Parques. La ubicación seleccionada actúa como referencia preferida y la precisión pública respeta el modo exacto/aproximado del Listing.</w:t>
      </w:r>
    </w:p>
    <w:p>
      <w:pPr>
        <w:pStyle w:val="Heading2"/>
      </w:pPr>
      <w:r>
        <w:t>5.3 PIN y Location Correction Policy</w:t>
      </w:r>
    </w:p>
    <w:p>
      <w:r>
        <w:t>La coordenada canónica interna es el PIN colocado y confirmado por el publisher. El geocoder es una ayuda, no autoridad. Después de publicar, la corrección queda protegida y auditada.</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24245E"/>
          </w:tcPr>
          <w:p>
            <w:r>
              <w:rPr>
                <w:b/>
                <w:color w:val="FFFFFF"/>
                <w:sz w:val="16"/>
              </w:rPr>
              <w:t>Contexto</w:t>
            </w:r>
          </w:p>
        </w:tc>
        <w:tc>
          <w:tcPr>
            <w:tcW w:type="dxa" w:w="3408"/>
            <w:shd w:fill="24245E"/>
          </w:tcPr>
          <w:p>
            <w:r>
              <w:rPr>
                <w:b/>
                <w:color w:val="FFFFFF"/>
                <w:sz w:val="16"/>
              </w:rPr>
              <w:t>Regla conceptual</w:t>
            </w:r>
          </w:p>
        </w:tc>
        <w:tc>
          <w:tcPr>
            <w:tcW w:type="dxa" w:w="3408"/>
            <w:shd w:fill="24245E"/>
          </w:tcPr>
          <w:p>
            <w:r>
              <w:rPr>
                <w:b/>
                <w:color w:val="FFFFFF"/>
                <w:sz w:val="16"/>
              </w:rPr>
              <w:t>Resultado</w:t>
            </w:r>
          </w:p>
        </w:tc>
      </w:tr>
      <w:tr>
        <w:tc>
          <w:tcPr>
            <w:tcW w:type="dxa" w:w="3408"/>
            <w:tcMar>
              <w:top w:w="80" w:type="dxa"/>
              <w:start w:w="80" w:type="dxa"/>
              <w:bottom w:w="80" w:type="dxa"/>
              <w:end w:w="80" w:type="dxa"/>
            </w:tcMar>
          </w:tcPr>
          <w:p>
            <w:r>
              <w:rPr>
                <w:sz w:val="16"/>
              </w:rPr>
              <w:t>Urbano</w:t>
            </w:r>
          </w:p>
        </w:tc>
        <w:tc>
          <w:tcPr>
            <w:tcW w:type="dxa" w:w="3408"/>
            <w:tcMar>
              <w:top w:w="80" w:type="dxa"/>
              <w:start w:w="80" w:type="dxa"/>
              <w:bottom w:w="80" w:type="dxa"/>
              <w:end w:w="80" w:type="dxa"/>
            </w:tcMar>
          </w:tcPr>
          <w:p>
            <w:r>
              <w:rPr>
                <w:sz w:val="16"/>
              </w:rPr>
              <w:t>~100 m como referencia inicial configurable</w:t>
            </w:r>
          </w:p>
        </w:tc>
        <w:tc>
          <w:tcPr>
            <w:tcW w:type="dxa" w:w="3408"/>
            <w:tcMar>
              <w:top w:w="80" w:type="dxa"/>
              <w:start w:w="80" w:type="dxa"/>
              <w:bottom w:w="80" w:type="dxa"/>
              <w:end w:w="80" w:type="dxa"/>
            </w:tcMar>
          </w:tcPr>
          <w:p>
            <w:r>
              <w:rPr>
                <w:sz w:val="16"/>
              </w:rPr>
              <w:t>Corrección simple o revisión</w:t>
            </w:r>
          </w:p>
        </w:tc>
      </w:tr>
      <w:tr>
        <w:tc>
          <w:tcPr>
            <w:tcW w:type="dxa" w:w="3408"/>
            <w:tcMar>
              <w:top w:w="80" w:type="dxa"/>
              <w:start w:w="80" w:type="dxa"/>
              <w:bottom w:w="80" w:type="dxa"/>
              <w:end w:w="80" w:type="dxa"/>
            </w:tcMar>
          </w:tcPr>
          <w:p>
            <w:r>
              <w:rPr>
                <w:sz w:val="16"/>
              </w:rPr>
              <w:t>Rural / gran parcela</w:t>
            </w:r>
          </w:p>
        </w:tc>
        <w:tc>
          <w:tcPr>
            <w:tcW w:type="dxa" w:w="3408"/>
            <w:tcMar>
              <w:top w:w="80" w:type="dxa"/>
              <w:start w:w="80" w:type="dxa"/>
              <w:bottom w:w="80" w:type="dxa"/>
              <w:end w:w="80" w:type="dxa"/>
            </w:tcMar>
          </w:tcPr>
          <w:p>
            <w:r>
              <w:rPr>
                <w:sz w:val="16"/>
              </w:rPr>
              <w:t>Puede superar 100 m si sigue dentro de la misma geometría</w:t>
            </w:r>
          </w:p>
        </w:tc>
        <w:tc>
          <w:tcPr>
            <w:tcW w:type="dxa" w:w="3408"/>
            <w:tcMar>
              <w:top w:w="80" w:type="dxa"/>
              <w:start w:w="80" w:type="dxa"/>
              <w:bottom w:w="80" w:type="dxa"/>
              <w:end w:w="80" w:type="dxa"/>
            </w:tcMar>
          </w:tcPr>
          <w:p>
            <w:r>
              <w:rPr>
                <w:sz w:val="16"/>
              </w:rPr>
              <w:t>Validar identidad, no distancia aislada</w:t>
            </w:r>
          </w:p>
        </w:tc>
      </w:tr>
      <w:tr>
        <w:tc>
          <w:tcPr>
            <w:tcW w:type="dxa" w:w="3408"/>
            <w:tcMar>
              <w:top w:w="80" w:type="dxa"/>
              <w:start w:w="80" w:type="dxa"/>
              <w:bottom w:w="80" w:type="dxa"/>
              <w:end w:w="80" w:type="dxa"/>
            </w:tcMar>
          </w:tcPr>
          <w:p>
            <w:r>
              <w:rPr>
                <w:sz w:val="16"/>
              </w:rPr>
              <w:t>Project / edificio</w:t>
            </w:r>
          </w:p>
        </w:tc>
        <w:tc>
          <w:tcPr>
            <w:tcW w:type="dxa" w:w="3408"/>
            <w:tcMar>
              <w:top w:w="80" w:type="dxa"/>
              <w:start w:w="80" w:type="dxa"/>
              <w:bottom w:w="80" w:type="dxa"/>
              <w:end w:w="80" w:type="dxa"/>
            </w:tcMar>
          </w:tcPr>
          <w:p>
            <w:r>
              <w:rPr>
                <w:sz w:val="16"/>
              </w:rPr>
              <w:t>Regla más estricta por estructura conocida</w:t>
            </w:r>
          </w:p>
        </w:tc>
        <w:tc>
          <w:tcPr>
            <w:tcW w:type="dxa" w:w="3408"/>
            <w:tcMar>
              <w:top w:w="80" w:type="dxa"/>
              <w:start w:w="80" w:type="dxa"/>
              <w:bottom w:w="80" w:type="dxa"/>
              <w:end w:w="80" w:type="dxa"/>
            </w:tcMar>
          </w:tcPr>
          <w:p>
            <w:r>
              <w:rPr>
                <w:sz w:val="16"/>
              </w:rPr>
              <w:t>Review ante cambio material</w:t>
            </w:r>
          </w:p>
        </w:tc>
      </w:tr>
    </w:tbl>
    <w:p>
      <w:pPr>
        <w:pStyle w:val="Heading1"/>
      </w:pPr>
      <w:r>
        <w:t>6. Modelo de dominio: Property → MarketCycle → Listing</w:t>
      </w:r>
    </w:p>
    <w:p>
      <w:pPr>
        <w:pStyle w:val="Heading2"/>
      </w:pPr>
      <w:r>
        <w:t>6.1 Property</w:t>
      </w:r>
    </w:p>
    <w:p>
      <w:r>
        <w:t>Entidad inmobiliaria permanente. Su ID interno no es título jurídico. Sobrevive a cambios de anunciante, propietario, operación, remodelaciones normales, pausas y relanzamientos. Subdivisiones/combinaciones reales pueden crear lineage de nuevas identidades.</w:t>
      </w:r>
    </w:p>
    <w:p>
      <w:pPr>
        <w:pStyle w:val="Heading2"/>
      </w:pPr>
      <w:r>
        <w:t>6.2 MarketCycle</w:t>
      </w:r>
    </w:p>
    <w:p>
      <w:r>
        <w:t>Representa el episodio real de comercialización para una Property y una operación. Puede contener varios Listings independientes de distintos controllers. Un cierre confirmado seguido de nueva comercialización crea un nuevo MarketCycle aunque haya transcurrido poco tiempo.</w:t>
      </w:r>
    </w:p>
    <w:p>
      <w:pPr>
        <w:pStyle w:val="Heading2"/>
      </w:pPr>
      <w:r>
        <w:t>6.3 Listing</w:t>
      </w:r>
    </w:p>
    <w:p>
      <w:r>
        <w:t>Publicación comercial: precio, moneda, contenido, disponibilidad, controller y participantes. Un Listing nunca sustituye a Property ni reinicia el tiempo total del mercado cuando cambia de controller.</w:t>
      </w:r>
    </w:p>
    <w:p>
      <w:pPr>
        <w:pStyle w:val="Heading2"/>
      </w:pPr>
      <w:r>
        <w:t>6.4 TransactionClaim</w:t>
      </w:r>
    </w:p>
    <w:p>
      <w:r>
        <w:t>Un controller puede declarar el cierre de su Listing, generando un claim sobre Property/MarketCycle. Ese claim no cierra Listings independientes de terceros; Kaza solicita reconfirmación y resuelve el estado global mediante señales/evidencia.</w:t>
      </w:r>
    </w:p>
    <w:p>
      <w:pPr>
        <w:pStyle w:val="Heading1"/>
      </w:pPr>
      <w:r>
        <w:t>7. Property Identity, deduplicación y composición</w:t>
      </w:r>
    </w:p>
    <w:p>
      <w:r>
        <w:t>• No auto-merge por coordenada exacta o similitud difusa aislada.</w:t>
      </w:r>
    </w:p>
    <w:p>
      <w:r>
        <w:t>• Señales: parcel/building/unit, dirección, piso, geometría, superficies, fotos, plano, historial, external IDs y Trust.</w:t>
      </w:r>
    </w:p>
    <w:p>
      <w:r>
        <w:t>• Ante duda: Property provisional antes que una fusión incorrecta.</w:t>
      </w:r>
    </w:p>
    <w:p>
      <w:r>
        <w:t>• Merge/split administrativo es auditable y reversible.</w:t>
      </w:r>
    </w:p>
    <w:p>
      <w:r>
        <w:t>• Clusters y stacks cuentan Properties únicos, no Listings.</w:t>
      </w:r>
    </w:p>
    <w:p>
      <w:pPr>
        <w:pStyle w:val="Heading2"/>
      </w:pPr>
      <w:r>
        <w:t>7.1 Whole Asset + Units</w:t>
      </w:r>
    </w:p>
    <w:p>
      <w:r>
        <w:t>asset_scope: WHOLE_ASSET / FULL_FLOOR / UNIT / COMMERCIAL_SPACE / PARTIAL_ASSET. Insights evita contar un edificio y sus 20 unidades como 21 comparables equivalentes. El cierre de un parent solo cascada a children cuando Transaction scope los incluye explícitamente; de lo contrario se dispara RECONFIRM_CHILD_AVAILABILITY.</w:t>
      </w:r>
    </w:p>
    <w:p>
      <w:pPr>
        <w:pStyle w:val="Heading1"/>
      </w:pPr>
      <w:r>
        <w:t>8. Publicar, lifecycle y disponibilidad</w:t>
      </w:r>
    </w:p>
    <w:p>
      <w:pPr>
        <w:pStyle w:val="KazaPrinciple"/>
      </w:pPr>
      <w:r>
        <w:t>Wizard oficial: Publicar → quién publica / Workspace → operación → tipo → ubicación → características → precio → contenido → descripción → contacto → preview → publicar → gestionar.</w:t>
      </w:r>
    </w:p>
    <w:p>
      <w:pPr>
        <w:pStyle w:val="Heading2"/>
      </w:pPr>
      <w:r>
        <w:t>8.1 Precio</w:t>
      </w:r>
    </w:p>
    <w:p>
      <w:r>
        <w:t>Dos modos válidos: PUBLIC_NUMERIC y CONTACT_FOR_PRICE. No existe precio 0 como placeholder. “Negociable” solo se ofrece con precio numérico visible.</w:t>
      </w:r>
    </w:p>
    <w:p>
      <w:pPr>
        <w:pStyle w:val="Heading2"/>
      </w:pPr>
      <w:r>
        <w:t>8.2 Lifecycle</w:t>
      </w:r>
    </w:p>
    <w:p>
      <w:r>
        <w:rPr>
          <w:b/>
        </w:rPr>
        <w:t xml:space="preserve">Estados conceptuales: </w:t>
      </w:r>
      <w:r>
        <w:t>DRAFT · REVIEW · AVAILABLE · RESERVED · CLOSED · PAUSED · WITHDRAWN · STALE · SUSPENDED · ARCHIVED</w:t>
      </w:r>
    </w:p>
    <w:p>
      <w:pPr>
        <w:pStyle w:val="Heading2"/>
      </w:pPr>
      <w:r>
        <w:t>8.3 Freshness</w:t>
      </w:r>
    </w:p>
    <w:p>
      <w:r>
        <w:t>La falta de login no elimina Listings. La vigencia se gobierna por confirmaciones de disponibilidad. Un Listing puede pasar a NEEDS_CONFIRMATION/STALE y luego auto-pausarse. El histórico permanece.</w:t>
      </w:r>
    </w:p>
    <w:p>
      <w:pPr>
        <w:pStyle w:val="Heading1"/>
      </w:pPr>
      <w:r>
        <w:t>9. Controller, colaboración, Organizations y transferencias</w:t>
      </w:r>
    </w:p>
    <w:p>
      <w:pPr>
        <w:pStyle w:val="Heading2"/>
      </w:pPr>
      <w:r>
        <w:t>9.1 Colaboración</w:t>
      </w:r>
    </w:p>
    <w:p>
      <w:r>
        <w:t>Una colaboración comparte un solo Listing y una sola presentación pública. Controller y colaboradores pueden acordar externamente cómo presentar el inmueble, pero dentro de Kaza existe un único título, descripción, precio, media, PIN y disponibilidad.</w:t>
      </w:r>
    </w:p>
    <w:p>
      <w:pPr>
        <w:pStyle w:val="Heading2"/>
      </w:pPr>
      <w:r>
        <w:t>9.2 Controller</w:t>
      </w:r>
    </w:p>
    <w:p>
      <w:r>
        <w:t>Publicación desde Personal Workspace → controller_type USER. Publicación desde Inmobiliaria/Organization Workspace → controller_type ORGANIZATION. El controller controla precio, contenido, disponibilidad, reserva, ubicación, colaboradores y cierre operativo.</w:t>
      </w:r>
    </w:p>
    <w:p>
      <w:pPr>
        <w:pStyle w:val="Heading2"/>
      </w:pPr>
      <w:r>
        <w:t>9.3 Transferencia</w:t>
      </w:r>
    </w:p>
    <w:p>
      <w:r>
        <w:t>Transferencia bilateral con aceptación explícita. Conserva Listing ID, Property ID, MarketCycle, DOM, price/history, Plus y métricas. No transfiere título, mandato ni derechos reales. El antiguo controller pierde derechos críticos y no puede recuperar control unilateralmente.</w:t>
      </w:r>
    </w:p>
    <w:p>
      <w:pPr>
        <w:pStyle w:val="Heading2"/>
      </w:pPr>
      <w:r>
        <w:t>9.4 Organization lifecycle</w:t>
      </w:r>
    </w:p>
    <w:p>
      <w:r>
        <w:t>ACTIVE → INACTIVE → ARCHIVED. El cierre voluntario exige resolver Listings, Projects, billing, Leads/visitas y roles críticos. Si el único admin quiere eliminar su cuenta, debe transferir administración o archivar/cerrar la Organization; la Organization no puede bloquear indefinidamente la eliminación de la cuenta personal.</w:t>
      </w:r>
    </w:p>
    <w:p>
      <w:r>
        <w:br w:type="page"/>
      </w:r>
    </w:p>
    <w:p>
      <w:pPr>
        <w:pStyle w:val="Heading1"/>
      </w:pPr>
      <w:r>
        <w:t>10. Leads, conversaciones, visitas, reservas y transacciones</w:t>
      </w:r>
    </w:p>
    <w:p>
      <w:pPr>
        <w:pStyle w:val="Heading2"/>
      </w:pPr>
      <w:r>
        <w:t>10.1 Conversaciones</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24245E"/>
          </w:tcPr>
          <w:p>
            <w:r>
              <w:rPr>
                <w:b/>
                <w:color w:val="FFFFFF"/>
                <w:sz w:val="16"/>
              </w:rPr>
              <w:t>Contexto</w:t>
            </w:r>
          </w:p>
        </w:tc>
        <w:tc>
          <w:tcPr>
            <w:tcW w:type="dxa" w:w="3408"/>
            <w:shd w:fill="24245E"/>
          </w:tcPr>
          <w:p>
            <w:r>
              <w:rPr>
                <w:b/>
                <w:color w:val="FFFFFF"/>
                <w:sz w:val="16"/>
              </w:rPr>
              <w:t>Propietario del Lead</w:t>
            </w:r>
          </w:p>
        </w:tc>
        <w:tc>
          <w:tcPr>
            <w:tcW w:type="dxa" w:w="3408"/>
            <w:shd w:fill="24245E"/>
          </w:tcPr>
          <w:p>
            <w:r>
              <w:rPr>
                <w:b/>
                <w:color w:val="FFFFFF"/>
                <w:sz w:val="16"/>
              </w:rPr>
              <w:t>Regla de privacidad</w:t>
            </w:r>
          </w:p>
        </w:tc>
      </w:tr>
      <w:tr>
        <w:tc>
          <w:tcPr>
            <w:tcW w:type="dxa" w:w="3408"/>
            <w:tcMar>
              <w:top w:w="80" w:type="dxa"/>
              <w:start w:w="80" w:type="dxa"/>
              <w:bottom w:w="80" w:type="dxa"/>
              <w:end w:w="80" w:type="dxa"/>
            </w:tcMar>
          </w:tcPr>
          <w:p>
            <w:r>
              <w:rPr>
                <w:sz w:val="16"/>
              </w:rPr>
              <w:t>USER-controlled / contacto personal</w:t>
            </w:r>
          </w:p>
        </w:tc>
        <w:tc>
          <w:tcPr>
            <w:tcW w:type="dxa" w:w="3408"/>
            <w:tcMar>
              <w:top w:w="80" w:type="dxa"/>
              <w:start w:w="80" w:type="dxa"/>
              <w:bottom w:w="80" w:type="dxa"/>
              <w:end w:w="80" w:type="dxa"/>
            </w:tcMar>
          </w:tcPr>
          <w:p>
            <w:r>
              <w:rPr>
                <w:sz w:val="16"/>
              </w:rPr>
              <w:t>User contactado</w:t>
            </w:r>
          </w:p>
        </w:tc>
        <w:tc>
          <w:tcPr>
            <w:tcW w:type="dxa" w:w="3408"/>
            <w:tcMar>
              <w:top w:w="80" w:type="dxa"/>
              <w:start w:w="80" w:type="dxa"/>
              <w:bottom w:w="80" w:type="dxa"/>
              <w:end w:w="80" w:type="dxa"/>
            </w:tcMar>
          </w:tcPr>
          <w:p>
            <w:r>
              <w:rPr>
                <w:sz w:val="16"/>
              </w:rPr>
              <w:t>Chat privado; no se transfiere con Listing</w:t>
            </w:r>
          </w:p>
        </w:tc>
      </w:tr>
      <w:tr>
        <w:tc>
          <w:tcPr>
            <w:tcW w:type="dxa" w:w="3408"/>
            <w:tcMar>
              <w:top w:w="80" w:type="dxa"/>
              <w:start w:w="80" w:type="dxa"/>
              <w:bottom w:w="80" w:type="dxa"/>
              <w:end w:w="80" w:type="dxa"/>
            </w:tcMar>
          </w:tcPr>
          <w:p>
            <w:r>
              <w:rPr>
                <w:sz w:val="16"/>
              </w:rPr>
              <w:t>ORGANIZATION-controlled CTA principal</w:t>
            </w:r>
          </w:p>
        </w:tc>
        <w:tc>
          <w:tcPr>
            <w:tcW w:type="dxa" w:w="3408"/>
            <w:tcMar>
              <w:top w:w="80" w:type="dxa"/>
              <w:start w:w="80" w:type="dxa"/>
              <w:bottom w:w="80" w:type="dxa"/>
              <w:end w:w="80" w:type="dxa"/>
            </w:tcMar>
          </w:tcPr>
          <w:p>
            <w:r>
              <w:rPr>
                <w:sz w:val="16"/>
              </w:rPr>
              <w:t>Organization Workspace</w:t>
            </w:r>
          </w:p>
        </w:tc>
        <w:tc>
          <w:tcPr>
            <w:tcW w:type="dxa" w:w="3408"/>
            <w:tcMar>
              <w:top w:w="80" w:type="dxa"/>
              <w:start w:w="80" w:type="dxa"/>
              <w:bottom w:w="80" w:type="dxa"/>
              <w:end w:w="80" w:type="dxa"/>
            </w:tcMar>
          </w:tcPr>
          <w:p>
            <w:r>
              <w:rPr>
                <w:sz w:val="16"/>
              </w:rPr>
              <w:t>Agente asignado; puede reasignarse según permisos</w:t>
            </w:r>
          </w:p>
        </w:tc>
      </w:tr>
      <w:tr>
        <w:tc>
          <w:tcPr>
            <w:tcW w:type="dxa" w:w="3408"/>
            <w:tcMar>
              <w:top w:w="80" w:type="dxa"/>
              <w:start w:w="80" w:type="dxa"/>
              <w:bottom w:w="80" w:type="dxa"/>
              <w:end w:w="80" w:type="dxa"/>
            </w:tcMar>
          </w:tcPr>
          <w:p>
            <w:r>
              <w:rPr>
                <w:sz w:val="16"/>
              </w:rPr>
              <w:t>Colaborador externo elegido explícitamente</w:t>
            </w:r>
          </w:p>
        </w:tc>
        <w:tc>
          <w:tcPr>
            <w:tcW w:type="dxa" w:w="3408"/>
            <w:tcMar>
              <w:top w:w="80" w:type="dxa"/>
              <w:start w:w="80" w:type="dxa"/>
              <w:bottom w:w="80" w:type="dxa"/>
              <w:end w:w="80" w:type="dxa"/>
            </w:tcMar>
          </w:tcPr>
          <w:p>
            <w:r>
              <w:rPr>
                <w:sz w:val="16"/>
              </w:rPr>
              <w:t>Colaborador</w:t>
            </w:r>
          </w:p>
        </w:tc>
        <w:tc>
          <w:tcPr>
            <w:tcW w:type="dxa" w:w="3408"/>
            <w:tcMar>
              <w:top w:w="80" w:type="dxa"/>
              <w:start w:w="80" w:type="dxa"/>
              <w:bottom w:w="80" w:type="dxa"/>
              <w:end w:w="80" w:type="dxa"/>
            </w:tcMar>
          </w:tcPr>
          <w:p>
            <w:r>
              <w:rPr>
                <w:sz w:val="16"/>
              </w:rPr>
              <w:t>Conversación personal del actor</w:t>
            </w:r>
          </w:p>
        </w:tc>
      </w:tr>
    </w:tbl>
    <w:p>
      <w:pPr>
        <w:pStyle w:val="Heading2"/>
      </w:pPr>
      <w:r>
        <w:t>10.2 Visit Safety</w:t>
      </w:r>
    </w:p>
    <w:p>
      <w:r>
        <w:t>Visitas pertenecen a quien las coordinó. La capa VisitSafety puede permitir compartir cita, contacto de confianza, check-in/check-out opcional, bloqueo/reporte y reporte de incidentes, sin background location permanente ni prometer servicio de emergencia.</w:t>
      </w:r>
    </w:p>
    <w:p>
      <w:pPr>
        <w:pStyle w:val="Heading2"/>
      </w:pPr>
      <w:r>
        <w:t>10.3 ReservationRecord</w:t>
      </w:r>
    </w:p>
    <w:p>
      <w:r>
        <w:t>Estados: REQUESTED / REPORTED / CONFIRMED / CANCELLED / EXPIRED / DISPUTED. La transferencia del Listing conserva el estado comercial, pero no transfiere chats. El nuevo controller recibe la información operativa mínima y puede solicitar al interesado consentimiento para continuar la gestión.</w:t>
      </w:r>
    </w:p>
    <w:p>
      <w:pPr>
        <w:pStyle w:val="Heading2"/>
      </w:pPr>
      <w:r>
        <w:t>10.4 Transaction</w:t>
      </w:r>
    </w:p>
    <w:p>
      <w:r>
        <w:t>Transaction es el hecho de mercado contado una sola vez. Puede tener múltiples TransactionContributors con roles diferenciados. El MarketCycle DOM es total; Controller Tenure y Actor Performance se atribuyen por período/acción, evitando afirmar que un controller “vendió en 5 días” si la Property llevaba 130 días en mercado.</w:t>
      </w:r>
    </w:p>
    <w:p>
      <w:pPr>
        <w:pStyle w:val="Heading1"/>
      </w:pPr>
      <w:r>
        <w:t>11. Guardados, listas y comparador</w:t>
      </w:r>
    </w:p>
    <w:p>
      <w:r>
        <w:t>Saved = Property + Operation + Preferred Listing. La misma Property puede guardarse por separado para venta y alquiler. Si el Preferred Listing desaparece, Kaza conserva Property+Operation y puede proponer un fallback. El comparador solo enfrenta cohortes de la misma operación.</w:t>
      </w:r>
    </w:p>
    <w:p>
      <w:pPr>
        <w:pStyle w:val="Heading2"/>
      </w:pPr>
      <w:r>
        <w:t>11.1 Colaboración privada en listas</w:t>
      </w:r>
    </w:p>
    <w:p>
      <w:r>
        <w:t>Listas pueden ser privadas o compartidas, con reacciones y comentarios privados. Compartir una lista no comparte la cuenta ni los Guardados privados del usuario.</w:t>
      </w:r>
    </w:p>
    <w:p>
      <w:pPr>
        <w:pStyle w:val="Heading1"/>
      </w:pPr>
      <w:r>
        <w:t>12. Trust, Reputation, Reviews y Fair Housing</w:t>
      </w:r>
    </w:p>
    <w:p>
      <w:pPr>
        <w:pStyle w:val="Heading2"/>
      </w:pPr>
      <w:r>
        <w:t>12.1 Trust</w:t>
      </w:r>
    </w:p>
    <w:p>
      <w:r>
        <w:t>Responde si el actor es real/legítimo/vigente. Pertenece a User u Organization, nunca al Listing. Cada badge debe decir exactamente qué comprobó Kaza. Verificar una Organization no verifica automáticamente a sus miembros y viceversa.</w:t>
      </w:r>
    </w:p>
    <w:p>
      <w:pPr>
        <w:pStyle w:val="Heading2"/>
      </w:pPr>
      <w:r>
        <w:t>12.2 Reputation</w:t>
      </w:r>
    </w:p>
    <w:p>
      <w:r>
        <w:t>Historial de comportamiento profesional. Se construye con eventos objetivos, contribuciones y reviews elegibles. No se compra ni se edita manualmente como una puntuación arbitraria.</w:t>
      </w:r>
    </w:p>
    <w:p>
      <w:pPr>
        <w:pStyle w:val="Heading2"/>
      </w:pPr>
      <w:r>
        <w:t>12.3 Reviews</w:t>
      </w:r>
    </w:p>
    <w:p>
      <w:r>
        <w:t>Solo después de una interacción verificable: Visit completed, Transaction confirmed/contribution u otro evento definido. Una review se puede reportar, responder, apelar y moderar. Review ≠ Trust. Muestras pequeñas no deben producir promedios engañosamente precisos.</w:t>
      </w:r>
    </w:p>
    <w:p>
      <w:pPr>
        <w:pStyle w:val="Heading2"/>
      </w:pPr>
      <w:r>
        <w:t>12.4 Fair Housing / Non-Discrimination</w:t>
      </w:r>
    </w:p>
    <w:p>
      <w:r>
        <w:t>Política transversal sobre Listings, mensajes, perfiles, reviews, IA, filtros, Score, recomendaciones y Moderation. Las categorías protegidas se configuran por mercado. Kaza puede ayudar a encontrar una vivienda adecuada; no decidir qué grupos deberían vivir en una zona.</w:t>
      </w:r>
    </w:p>
    <w:p>
      <w:pPr>
        <w:pStyle w:val="Heading1"/>
      </w:pPr>
      <w:r>
        <w:t>13. Precio, moneda y Country Market Config</w:t>
      </w:r>
    </w:p>
    <w:p>
      <w:r>
        <w:t>El publisher elige moneda de publicación. Cada mercado ofrece moneda local + USD por defecto cuando corresponda. El precio original siempre se conserva; conversiones para filtros/Insights son referenciales, versionadas y nunca contractuales.</w:t>
      </w:r>
    </w:p>
    <w:tbl>
      <w:tblPr>
        <w:tblW w:type="auto" w:w="0"/>
        <w:jc w:val="center"/>
        <w:tblLook w:firstColumn="1" w:firstRow="1" w:lastColumn="0" w:lastRow="0" w:noHBand="0" w:noVBand="1" w:val="04A0"/>
      </w:tblPr>
      <w:tblGrid>
        <w:gridCol w:w="5112"/>
        <w:gridCol w:w="5112"/>
      </w:tblGrid>
      <w:tr>
        <w:trPr>
          <w:tblHeader w:val="true"/>
        </w:trPr>
        <w:tc>
          <w:tcPr>
            <w:tcW w:type="dxa" w:w="5112"/>
            <w:shd w:fill="24245E"/>
          </w:tcPr>
          <w:p>
            <w:r>
              <w:rPr>
                <w:b/>
                <w:color w:val="FFFFFF"/>
                <w:sz w:val="16"/>
              </w:rPr>
              <w:t>Campo</w:t>
            </w:r>
          </w:p>
        </w:tc>
        <w:tc>
          <w:tcPr>
            <w:tcW w:type="dxa" w:w="5112"/>
            <w:shd w:fill="24245E"/>
          </w:tcPr>
          <w:p>
            <w:r>
              <w:rPr>
                <w:b/>
                <w:color w:val="FFFFFF"/>
                <w:sz w:val="16"/>
              </w:rPr>
              <w:t>Regla</w:t>
            </w:r>
          </w:p>
        </w:tc>
      </w:tr>
      <w:tr>
        <w:tc>
          <w:tcPr>
            <w:tcW w:type="dxa" w:w="5112"/>
            <w:tcMar>
              <w:top w:w="80" w:type="dxa"/>
              <w:start w:w="80" w:type="dxa"/>
              <w:bottom w:w="80" w:type="dxa"/>
              <w:end w:w="80" w:type="dxa"/>
            </w:tcMar>
          </w:tcPr>
          <w:p>
            <w:r>
              <w:rPr>
                <w:sz w:val="16"/>
              </w:rPr>
              <w:t>currency_original</w:t>
            </w:r>
          </w:p>
        </w:tc>
        <w:tc>
          <w:tcPr>
            <w:tcW w:type="dxa" w:w="5112"/>
            <w:tcMar>
              <w:top w:w="80" w:type="dxa"/>
              <w:start w:w="80" w:type="dxa"/>
              <w:bottom w:w="80" w:type="dxa"/>
              <w:end w:w="80" w:type="dxa"/>
            </w:tcMar>
          </w:tcPr>
          <w:p>
            <w:r>
              <w:rPr>
                <w:sz w:val="16"/>
              </w:rPr>
              <w:t>Moneda publicada por el anunciante</w:t>
            </w:r>
          </w:p>
        </w:tc>
      </w:tr>
      <w:tr>
        <w:tc>
          <w:tcPr>
            <w:tcW w:type="dxa" w:w="5112"/>
            <w:tcMar>
              <w:top w:w="80" w:type="dxa"/>
              <w:start w:w="80" w:type="dxa"/>
              <w:bottom w:w="80" w:type="dxa"/>
              <w:end w:w="80" w:type="dxa"/>
            </w:tcMar>
          </w:tcPr>
          <w:p>
            <w:r>
              <w:rPr>
                <w:sz w:val="16"/>
              </w:rPr>
              <w:t>normalized_currency</w:t>
            </w:r>
          </w:p>
        </w:tc>
        <w:tc>
          <w:tcPr>
            <w:tcW w:type="dxa" w:w="5112"/>
            <w:tcMar>
              <w:top w:w="80" w:type="dxa"/>
              <w:start w:w="80" w:type="dxa"/>
              <w:bottom w:w="80" w:type="dxa"/>
              <w:end w:w="80" w:type="dxa"/>
            </w:tcMar>
          </w:tcPr>
          <w:p>
            <w:r>
              <w:rPr>
                <w:sz w:val="16"/>
              </w:rPr>
              <w:t>Moneda interna/referencial</w:t>
            </w:r>
          </w:p>
        </w:tc>
      </w:tr>
      <w:tr>
        <w:tc>
          <w:tcPr>
            <w:tcW w:type="dxa" w:w="5112"/>
            <w:tcMar>
              <w:top w:w="80" w:type="dxa"/>
              <w:start w:w="80" w:type="dxa"/>
              <w:bottom w:w="80" w:type="dxa"/>
              <w:end w:w="80" w:type="dxa"/>
            </w:tcMar>
          </w:tcPr>
          <w:p>
            <w:r>
              <w:rPr>
                <w:sz w:val="16"/>
              </w:rPr>
              <w:t>fx_rate/source/timestamp</w:t>
            </w:r>
          </w:p>
        </w:tc>
        <w:tc>
          <w:tcPr>
            <w:tcW w:type="dxa" w:w="5112"/>
            <w:tcMar>
              <w:top w:w="80" w:type="dxa"/>
              <w:start w:w="80" w:type="dxa"/>
              <w:bottom w:w="80" w:type="dxa"/>
              <w:end w:w="80" w:type="dxa"/>
            </w:tcMar>
          </w:tcPr>
          <w:p>
            <w:r>
              <w:rPr>
                <w:sz w:val="16"/>
              </w:rPr>
              <w:t>Trazabilidad de conversión</w:t>
            </w:r>
          </w:p>
        </w:tc>
      </w:tr>
      <w:tr>
        <w:tc>
          <w:tcPr>
            <w:tcW w:type="dxa" w:w="5112"/>
            <w:tcMar>
              <w:top w:w="80" w:type="dxa"/>
              <w:start w:w="80" w:type="dxa"/>
              <w:bottom w:w="80" w:type="dxa"/>
              <w:end w:w="80" w:type="dxa"/>
            </w:tcMar>
          </w:tcPr>
          <w:p>
            <w:r>
              <w:rPr>
                <w:sz w:val="16"/>
              </w:rPr>
              <w:t>filter_currency</w:t>
            </w:r>
          </w:p>
        </w:tc>
        <w:tc>
          <w:tcPr>
            <w:tcW w:type="dxa" w:w="5112"/>
            <w:tcMar>
              <w:top w:w="80" w:type="dxa"/>
              <w:start w:w="80" w:type="dxa"/>
              <w:bottom w:w="80" w:type="dxa"/>
              <w:end w:w="80" w:type="dxa"/>
            </w:tcMar>
          </w:tcPr>
          <w:p>
            <w:r>
              <w:rPr>
                <w:sz w:val="16"/>
              </w:rPr>
              <w:t>Una moneda activa por vez</w:t>
            </w:r>
          </w:p>
        </w:tc>
      </w:tr>
      <w:tr>
        <w:tc>
          <w:tcPr>
            <w:tcW w:type="dxa" w:w="5112"/>
            <w:tcMar>
              <w:top w:w="80" w:type="dxa"/>
              <w:start w:w="80" w:type="dxa"/>
              <w:bottom w:w="80" w:type="dxa"/>
              <w:end w:w="80" w:type="dxa"/>
            </w:tcMar>
          </w:tcPr>
          <w:p>
            <w:r>
              <w:rPr>
                <w:sz w:val="16"/>
              </w:rPr>
              <w:t>CONTACT_FOR_PRICE</w:t>
            </w:r>
          </w:p>
        </w:tc>
        <w:tc>
          <w:tcPr>
            <w:tcW w:type="dxa" w:w="5112"/>
            <w:tcMar>
              <w:top w:w="80" w:type="dxa"/>
              <w:start w:w="80" w:type="dxa"/>
              <w:bottom w:w="80" w:type="dxa"/>
              <w:end w:w="80" w:type="dxa"/>
            </w:tcMar>
          </w:tcPr>
          <w:p>
            <w:r>
              <w:rPr>
                <w:sz w:val="16"/>
              </w:rPr>
              <w:t>Fuera del rango numérico por default; checkbox para incluir</w:t>
            </w:r>
          </w:p>
        </w:tc>
      </w:tr>
    </w:tbl>
    <w:p>
      <w:pPr>
        <w:pStyle w:val="Heading1"/>
      </w:pPr>
      <w:r>
        <w:t>14. Kaza Insights, Data Governance y Signals</w:t>
      </w:r>
    </w:p>
    <w:p>
      <w:pPr>
        <w:pStyle w:val="KazaPrinciple"/>
      </w:pPr>
      <w:r>
        <w:t>Metric ≠ Insight ≠ Signal ≠ Alert.</w:t>
      </w:r>
    </w:p>
    <w:p>
      <w:r>
        <w:t>Pipeline conceptual: raw immutable event log → canonical state → business state → metrics → Insights/Signals. Cuatro gates antes de exponer información: PRIVACY_OK, SAMPLE_OK, QUALITY_OK, COMPARABILITY_OK.</w:t>
      </w:r>
    </w:p>
    <w:p>
      <w:pPr>
        <w:pStyle w:val="Heading2"/>
      </w:pPr>
      <w:r>
        <w:t>14.1 Público vs profesional</w:t>
      </w:r>
    </w:p>
    <w:p>
      <w:r>
        <w:t>Público: precio/m², mediana/rango, comparables, DOM, contexto simple, cambios guardados. Pro/Inmobiliaria/Projects/Enterprise reciben capas progresivamente más profundas. B2G futuro usa inteligencia agregada territorial sin PII ni comportamiento individual crudo.</w:t>
      </w:r>
    </w:p>
    <w:p>
      <w:pPr>
        <w:pStyle w:val="Heading2"/>
      </w:pPr>
      <w:r>
        <w:t>14.2 Comparables</w:t>
      </w:r>
    </w:p>
    <w:p>
      <w:r>
        <w:t>Se explican por operación, tipo, ubicación, período, moneda, estado y calidad. Property unique, no Listings duplicados. Asking price ≠ closing price.</w:t>
      </w:r>
    </w:p>
    <w:p>
      <w:pPr>
        <w:pStyle w:val="Heading2"/>
      </w:pPr>
      <w:r>
        <w:t>14.3 Signals</w:t>
      </w:r>
    </w:p>
    <w:p>
      <w:r>
        <w:t>Un Alert necesita relevancia, materialidad, confianza, novedad, privacidad y frecuencia adecuada. “Notificar menos, pero mejor”. Consumer recibe cambios importantes; seller performance se concentra en digest.</w:t>
      </w:r>
    </w:p>
    <w:p>
      <w:pPr>
        <w:pStyle w:val="Heading1"/>
      </w:pPr>
      <w:r>
        <w:t>15. IA, Imagina y Kaza Score</w:t>
      </w:r>
    </w:p>
    <w:p>
      <w:pPr>
        <w:pStyle w:val="Heading2"/>
      </w:pPr>
      <w:r>
        <w:t>15.1 IA transversal</w:t>
      </w:r>
    </w:p>
    <w:p>
      <w:r>
        <w:t>La IA no es un tab principal y no es fuente canónica de hechos. Si Kaza usa un proveedor externo para procesar fotos/datos, debe existir consentimiento contextual, disclosure y safeguards. Output puede reportarse y quedar detrás de feature flag hasta cumplir el gate de IA.</w:t>
      </w:r>
    </w:p>
    <w:p>
      <w:pPr>
        <w:pStyle w:val="Heading2"/>
      </w:pPr>
      <w:r>
        <w:t>15.2 Imagina</w:t>
      </w:r>
    </w:p>
    <w:p>
      <w:r>
        <w:t>Original y visualización conceptual siempre diferenciados. RENDER / AI_CONCEPT / VIRTUAL_STAGING no se confunden con estado actual. Projects puede usar material conceptual ampliamente, acompañado de evidencia real/contextual según etapa.</w:t>
      </w:r>
    </w:p>
    <w:p>
      <w:pPr>
        <w:pStyle w:val="Heading2"/>
      </w:pPr>
      <w:r>
        <w:t>15.3 Kaza Score</w:t>
      </w:r>
    </w:p>
    <w:p>
      <w:r>
        <w:t>Separar Score estándar de “Tu Score” personalizado. Debe explicar dimensiones y cobertura. No es valoración garantizada, recomendación fiduciaria ni asesoramiento financiero.</w:t>
      </w:r>
    </w:p>
    <w:p>
      <w:pPr>
        <w:pStyle w:val="Heading1"/>
      </w:pPr>
      <w:r>
        <w:t>16. Ecosistema comercial y Billing</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24245E"/>
          </w:tcPr>
          <w:p>
            <w:r>
              <w:rPr>
                <w:b/>
                <w:color w:val="FFFFFF"/>
                <w:sz w:val="16"/>
              </w:rPr>
              <w:t>Producto</w:t>
            </w:r>
          </w:p>
        </w:tc>
        <w:tc>
          <w:tcPr>
            <w:tcW w:type="dxa" w:w="3408"/>
            <w:shd w:fill="24245E"/>
          </w:tcPr>
          <w:p>
            <w:r>
              <w:rPr>
                <w:b/>
                <w:color w:val="FFFFFF"/>
                <w:sz w:val="16"/>
              </w:rPr>
              <w:t>Qué vende</w:t>
            </w:r>
          </w:p>
        </w:tc>
        <w:tc>
          <w:tcPr>
            <w:tcW w:type="dxa" w:w="3408"/>
            <w:shd w:fill="24245E"/>
          </w:tcPr>
          <w:p>
            <w:r>
              <w:rPr>
                <w:b/>
                <w:color w:val="FFFFFF"/>
                <w:sz w:val="16"/>
              </w:rPr>
              <w:t>Propietario del entitlement</w:t>
            </w:r>
          </w:p>
        </w:tc>
      </w:tr>
      <w:tr>
        <w:tc>
          <w:tcPr>
            <w:tcW w:type="dxa" w:w="3408"/>
            <w:tcMar>
              <w:top w:w="80" w:type="dxa"/>
              <w:start w:w="80" w:type="dxa"/>
              <w:bottom w:w="80" w:type="dxa"/>
              <w:end w:w="80" w:type="dxa"/>
            </w:tcMar>
          </w:tcPr>
          <w:p>
            <w:r>
              <w:rPr>
                <w:sz w:val="16"/>
              </w:rPr>
              <w:t>Free</w:t>
            </w:r>
          </w:p>
        </w:tc>
        <w:tc>
          <w:tcPr>
            <w:tcW w:type="dxa" w:w="3408"/>
            <w:tcMar>
              <w:top w:w="80" w:type="dxa"/>
              <w:start w:w="80" w:type="dxa"/>
              <w:bottom w:w="80" w:type="dxa"/>
              <w:end w:w="80" w:type="dxa"/>
            </w:tcMar>
          </w:tcPr>
          <w:p>
            <w:r>
              <w:rPr>
                <w:sz w:val="16"/>
              </w:rPr>
              <w:t>Marketplace esencial</w:t>
            </w:r>
          </w:p>
        </w:tc>
        <w:tc>
          <w:tcPr>
            <w:tcW w:type="dxa" w:w="3408"/>
            <w:tcMar>
              <w:top w:w="80" w:type="dxa"/>
              <w:start w:w="80" w:type="dxa"/>
              <w:bottom w:w="80" w:type="dxa"/>
              <w:end w:w="80" w:type="dxa"/>
            </w:tcMar>
          </w:tcPr>
          <w:p>
            <w:r>
              <w:rPr>
                <w:sz w:val="16"/>
              </w:rPr>
              <w:t>User / Organization según contexto</w:t>
            </w:r>
          </w:p>
        </w:tc>
      </w:tr>
      <w:tr>
        <w:tc>
          <w:tcPr>
            <w:tcW w:type="dxa" w:w="3408"/>
            <w:tcMar>
              <w:top w:w="80" w:type="dxa"/>
              <w:start w:w="80" w:type="dxa"/>
              <w:bottom w:w="80" w:type="dxa"/>
              <w:end w:w="80" w:type="dxa"/>
            </w:tcMar>
          </w:tcPr>
          <w:p>
            <w:r>
              <w:rPr>
                <w:sz w:val="16"/>
              </w:rPr>
              <w:t>Plus</w:t>
            </w:r>
          </w:p>
        </w:tc>
        <w:tc>
          <w:tcPr>
            <w:tcW w:type="dxa" w:w="3408"/>
            <w:tcMar>
              <w:top w:w="80" w:type="dxa"/>
              <w:start w:w="80" w:type="dxa"/>
              <w:bottom w:w="80" w:type="dxa"/>
              <w:end w:w="80" w:type="dxa"/>
            </w:tcMar>
          </w:tcPr>
          <w:p>
            <w:r>
              <w:rPr>
                <w:sz w:val="16"/>
              </w:rPr>
              <w:t>Promoción temporal de un Listing</w:t>
            </w:r>
          </w:p>
        </w:tc>
        <w:tc>
          <w:tcPr>
            <w:tcW w:type="dxa" w:w="3408"/>
            <w:tcMar>
              <w:top w:w="80" w:type="dxa"/>
              <w:start w:w="80" w:type="dxa"/>
              <w:bottom w:w="80" w:type="dxa"/>
              <w:end w:w="80" w:type="dxa"/>
            </w:tcMar>
          </w:tcPr>
          <w:p>
            <w:r>
              <w:rPr>
                <w:sz w:val="16"/>
              </w:rPr>
              <w:t>Listing tras activación; compra originada por payer</w:t>
            </w:r>
          </w:p>
        </w:tc>
      </w:tr>
      <w:tr>
        <w:tc>
          <w:tcPr>
            <w:tcW w:type="dxa" w:w="3408"/>
            <w:tcMar>
              <w:top w:w="80" w:type="dxa"/>
              <w:start w:w="80" w:type="dxa"/>
              <w:bottom w:w="80" w:type="dxa"/>
              <w:end w:w="80" w:type="dxa"/>
            </w:tcMar>
          </w:tcPr>
          <w:p>
            <w:r>
              <w:rPr>
                <w:sz w:val="16"/>
              </w:rPr>
              <w:t>Pro</w:t>
            </w:r>
          </w:p>
        </w:tc>
        <w:tc>
          <w:tcPr>
            <w:tcW w:type="dxa" w:w="3408"/>
            <w:tcMar>
              <w:top w:w="80" w:type="dxa"/>
              <w:start w:w="80" w:type="dxa"/>
              <w:bottom w:w="80" w:type="dxa"/>
              <w:end w:w="80" w:type="dxa"/>
            </w:tcMar>
          </w:tcPr>
          <w:p>
            <w:r>
              <w:rPr>
                <w:sz w:val="16"/>
              </w:rPr>
              <w:t>Herramientas profesionales</w:t>
            </w:r>
          </w:p>
        </w:tc>
        <w:tc>
          <w:tcPr>
            <w:tcW w:type="dxa" w:w="3408"/>
            <w:tcMar>
              <w:top w:w="80" w:type="dxa"/>
              <w:start w:w="80" w:type="dxa"/>
              <w:bottom w:w="80" w:type="dxa"/>
              <w:end w:w="80" w:type="dxa"/>
            </w:tcMar>
          </w:tcPr>
          <w:p>
            <w:r>
              <w:rPr>
                <w:sz w:val="16"/>
              </w:rPr>
              <w:t>User</w:t>
            </w:r>
          </w:p>
        </w:tc>
      </w:tr>
      <w:tr>
        <w:tc>
          <w:tcPr>
            <w:tcW w:type="dxa" w:w="3408"/>
            <w:tcMar>
              <w:top w:w="80" w:type="dxa"/>
              <w:start w:w="80" w:type="dxa"/>
              <w:bottom w:w="80" w:type="dxa"/>
              <w:end w:w="80" w:type="dxa"/>
            </w:tcMar>
          </w:tcPr>
          <w:p>
            <w:r>
              <w:rPr>
                <w:sz w:val="16"/>
              </w:rPr>
              <w:t>Inmobiliaria</w:t>
            </w:r>
          </w:p>
        </w:tc>
        <w:tc>
          <w:tcPr>
            <w:tcW w:type="dxa" w:w="3408"/>
            <w:tcMar>
              <w:top w:w="80" w:type="dxa"/>
              <w:start w:w="80" w:type="dxa"/>
              <w:bottom w:w="80" w:type="dxa"/>
              <w:end w:w="80" w:type="dxa"/>
            </w:tcMar>
          </w:tcPr>
          <w:p>
            <w:r>
              <w:rPr>
                <w:sz w:val="16"/>
              </w:rPr>
              <w:t>Workspace y herramientas organizacionales</w:t>
            </w:r>
          </w:p>
        </w:tc>
        <w:tc>
          <w:tcPr>
            <w:tcW w:type="dxa" w:w="3408"/>
            <w:tcMar>
              <w:top w:w="80" w:type="dxa"/>
              <w:start w:w="80" w:type="dxa"/>
              <w:bottom w:w="80" w:type="dxa"/>
              <w:end w:w="80" w:type="dxa"/>
            </w:tcMar>
          </w:tcPr>
          <w:p>
            <w:r>
              <w:rPr>
                <w:sz w:val="16"/>
              </w:rPr>
              <w:t>Organization</w:t>
            </w:r>
          </w:p>
        </w:tc>
      </w:tr>
      <w:tr>
        <w:tc>
          <w:tcPr>
            <w:tcW w:type="dxa" w:w="3408"/>
            <w:tcMar>
              <w:top w:w="80" w:type="dxa"/>
              <w:start w:w="80" w:type="dxa"/>
              <w:bottom w:w="80" w:type="dxa"/>
              <w:end w:w="80" w:type="dxa"/>
            </w:tcMar>
          </w:tcPr>
          <w:p>
            <w:r>
              <w:rPr>
                <w:sz w:val="16"/>
              </w:rPr>
              <w:t>Projects</w:t>
            </w:r>
          </w:p>
        </w:tc>
        <w:tc>
          <w:tcPr>
            <w:tcW w:type="dxa" w:w="3408"/>
            <w:tcMar>
              <w:top w:w="80" w:type="dxa"/>
              <w:start w:w="80" w:type="dxa"/>
              <w:bottom w:w="80" w:type="dxa"/>
              <w:end w:w="80" w:type="dxa"/>
            </w:tcMar>
          </w:tcPr>
          <w:p>
            <w:r>
              <w:rPr>
                <w:sz w:val="16"/>
              </w:rPr>
              <w:t>Producto B2B por Project/contrato</w:t>
            </w:r>
          </w:p>
        </w:tc>
        <w:tc>
          <w:tcPr>
            <w:tcW w:type="dxa" w:w="3408"/>
            <w:tcMar>
              <w:top w:w="80" w:type="dxa"/>
              <w:start w:w="80" w:type="dxa"/>
              <w:bottom w:w="80" w:type="dxa"/>
              <w:end w:w="80" w:type="dxa"/>
            </w:tcMar>
          </w:tcPr>
          <w:p>
            <w:r>
              <w:rPr>
                <w:sz w:val="16"/>
              </w:rPr>
              <w:t>Developer / Organization</w:t>
            </w:r>
          </w:p>
        </w:tc>
      </w:tr>
      <w:tr>
        <w:tc>
          <w:tcPr>
            <w:tcW w:type="dxa" w:w="3408"/>
            <w:tcMar>
              <w:top w:w="80" w:type="dxa"/>
              <w:start w:w="80" w:type="dxa"/>
              <w:bottom w:w="80" w:type="dxa"/>
              <w:end w:w="80" w:type="dxa"/>
            </w:tcMar>
          </w:tcPr>
          <w:p>
            <w:r>
              <w:rPr>
                <w:sz w:val="16"/>
              </w:rPr>
              <w:t>Media</w:t>
            </w:r>
          </w:p>
        </w:tc>
        <w:tc>
          <w:tcPr>
            <w:tcW w:type="dxa" w:w="3408"/>
            <w:tcMar>
              <w:top w:w="80" w:type="dxa"/>
              <w:start w:w="80" w:type="dxa"/>
              <w:bottom w:w="80" w:type="dxa"/>
              <w:end w:w="80" w:type="dxa"/>
            </w:tcMar>
          </w:tcPr>
          <w:p>
            <w:r>
              <w:rPr>
                <w:sz w:val="16"/>
              </w:rPr>
              <w:t>Servicio físico por Order</w:t>
            </w:r>
          </w:p>
        </w:tc>
        <w:tc>
          <w:tcPr>
            <w:tcW w:type="dxa" w:w="3408"/>
            <w:tcMar>
              <w:top w:w="80" w:type="dxa"/>
              <w:start w:w="80" w:type="dxa"/>
              <w:bottom w:w="80" w:type="dxa"/>
              <w:end w:w="80" w:type="dxa"/>
            </w:tcMar>
          </w:tcPr>
          <w:p>
            <w:r>
              <w:rPr>
                <w:sz w:val="16"/>
              </w:rPr>
              <w:t>Payer + Listing/Project</w:t>
            </w:r>
          </w:p>
        </w:tc>
      </w:tr>
      <w:tr>
        <w:tc>
          <w:tcPr>
            <w:tcW w:type="dxa" w:w="3408"/>
            <w:tcMar>
              <w:top w:w="80" w:type="dxa"/>
              <w:start w:w="80" w:type="dxa"/>
              <w:bottom w:w="80" w:type="dxa"/>
              <w:end w:w="80" w:type="dxa"/>
            </w:tcMar>
          </w:tcPr>
          <w:p>
            <w:r>
              <w:rPr>
                <w:sz w:val="16"/>
              </w:rPr>
              <w:t>Enterprise / Insights</w:t>
            </w:r>
          </w:p>
        </w:tc>
        <w:tc>
          <w:tcPr>
            <w:tcW w:type="dxa" w:w="3408"/>
            <w:tcMar>
              <w:top w:w="80" w:type="dxa"/>
              <w:start w:w="80" w:type="dxa"/>
              <w:bottom w:w="80" w:type="dxa"/>
              <w:end w:w="80" w:type="dxa"/>
            </w:tcMar>
          </w:tcPr>
          <w:p>
            <w:r>
              <w:rPr>
                <w:sz w:val="16"/>
              </w:rPr>
              <w:t>Datos/analytics contractuales</w:t>
            </w:r>
          </w:p>
        </w:tc>
        <w:tc>
          <w:tcPr>
            <w:tcW w:type="dxa" w:w="3408"/>
            <w:tcMar>
              <w:top w:w="80" w:type="dxa"/>
              <w:start w:w="80" w:type="dxa"/>
              <w:bottom w:w="80" w:type="dxa"/>
              <w:end w:w="80" w:type="dxa"/>
            </w:tcMar>
          </w:tcPr>
          <w:p>
            <w:r>
              <w:rPr>
                <w:sz w:val="16"/>
              </w:rPr>
              <w:t>Billing Account / Contract</w:t>
            </w:r>
          </w:p>
        </w:tc>
      </w:tr>
    </w:tbl>
    <w:p>
      <w:pPr>
        <w:pStyle w:val="Heading2"/>
      </w:pPr>
      <w:r>
        <w:t>16.1 Plus</w:t>
      </w:r>
    </w:p>
    <w:p>
      <w:r>
        <w:t>Plus amplifica la exposición de un Listing. Si el Listing se transfiere, el tiempo restante continúa. El nuevo controller no hereda la suscripción, créditos no usados ni método de pago del payer. En una Property multi-Listing, Plus no convierte a otros anunciantes en promocionados.</w:t>
      </w:r>
    </w:p>
    <w:p>
      <w:pPr>
        <w:pStyle w:val="Heading2"/>
      </w:pPr>
      <w:r>
        <w:t>16.2 Billing móvil</w:t>
      </w:r>
    </w:p>
    <w:p>
      <w:r>
        <w:t>En mobile, productos digitales como Plus/Pro utilizan los sistemas de compra exigidos por Apple/Google cuando aplica. Kaza Media, por ser servicio físico, usa pasarela externa. No mezclar Media física + Plus digital en un único checkout externo mobile durante MVP.</w:t>
      </w:r>
    </w:p>
    <w:p>
      <w:pPr>
        <w:pStyle w:val="Heading2"/>
      </w:pPr>
      <w:r>
        <w:t>16.3 Billing ≠ dinero inmobiliario</w:t>
      </w:r>
    </w:p>
    <w:p>
      <w:r>
        <w:t>Kaza Billing cobra servicios Kaza. No custodia ni procesa en MVP reserva económica, precio de compraventa, alquiler, anticrético, cuota inicial o desembolso de crédito.</w:t>
      </w:r>
    </w:p>
    <w:p>
      <w:pPr>
        <w:pStyle w:val="Heading1"/>
      </w:pPr>
      <w:r>
        <w:t>17. Kaza Media</w:t>
      </w:r>
    </w:p>
    <w:p>
      <w:pPr>
        <w:pStyle w:val="KazaPrinciple"/>
      </w:pPr>
      <w:r>
        <w:t>Kaza vende y responde por la experiencia; un Kaza Media Partner puede ejecutar detrás.</w:t>
      </w:r>
    </w:p>
    <w:p>
      <w:r>
        <w:t>Flujo: seleccionar servicio → paquete/cotización → Order → pago/aprobación → agenda → producción → Quality Control → revisión del cliente → entrega → añadir al Listing.</w:t>
      </w:r>
    </w:p>
    <w:p>
      <w:pPr>
        <w:pStyle w:val="Heading2"/>
      </w:pPr>
      <w:r>
        <w:t>17.1 Servicios</w:t>
      </w:r>
    </w:p>
    <w:p>
      <w:r>
        <w:t>Fotografía, Kaza Tour/video, drone, 360, reels, planos comerciales, edición, virtual staging, renders/IA y construction progress. Los servicios y precios se configuran por mercado.</w:t>
      </w:r>
    </w:p>
    <w:p>
      <w:pPr>
        <w:pStyle w:val="Heading2"/>
      </w:pPr>
      <w:r>
        <w:t>17.2 Veracidad y media types</w:t>
      </w:r>
    </w:p>
    <w:p>
      <w:r>
        <w:t>REAL_PHOTO / CONSTRUCTION_PROGRESS / VIDEO / DRONE / 360 / PLAN / RENDER / AI_CONCEPT / VIRTUAL_STAGING / EDITED_PHOTO. Editar mejora presentación; no puede agregar piscina inexistente, eliminar columnas o ocultar daños materiales y seguir llamándose “foto real”.</w:t>
      </w:r>
    </w:p>
    <w:p>
      <w:pPr>
        <w:pStyle w:val="Heading2"/>
      </w:pPr>
      <w:r>
        <w:t>17.3 Content Handover</w:t>
      </w:r>
    </w:p>
    <w:p>
      <w:r>
        <w:t>Contenido personal, de Organization, Kaza Media, terceros o Developer tiene bases de derechos distintas. Cuando un Listing cambia de controller o una cuenta se elimina, el contenido que debe sobrevivir necesita una licencia/handover suficiente. Conservar historia no equivale a conservar indefinidamente UGC personal.</w:t>
      </w:r>
    </w:p>
    <w:p>
      <w:pPr>
        <w:pStyle w:val="Heading1"/>
      </w:pPr>
      <w:r>
        <w:t>18. Cuenta, onboarding, Workspaces y Activity Center</w:t>
      </w:r>
    </w:p>
    <w:p>
      <w:r>
        <w:t>Una persona = un User. Roles y Workspaces se activan progresivamente. Un User puede tener Personal, Pro y pertenecer a múltiples Organizations/Projects sin crear cuentas separadas.</w:t>
      </w:r>
    </w:p>
    <w:p>
      <w:pPr>
        <w:pStyle w:val="Heading2"/>
      </w:pPr>
      <w:r>
        <w:t>18.1 Public profile vs Account</w:t>
      </w:r>
    </w:p>
    <w:p>
      <w:r>
        <w:t>Account privado contiene credenciales, seguridad, billing y privacidad. Public Profile contiene información profesional habilitada, Trust/Reputation y Listings. Contactos privados no se publican por existir en Account.</w:t>
      </w:r>
    </w:p>
    <w:p>
      <w:pPr>
        <w:pStyle w:val="Heading2"/>
      </w:pPr>
      <w:r>
        <w:t>18.2 Activity Center</w:t>
      </w:r>
    </w:p>
    <w:p>
      <w:r>
        <w:t>Organiza eventos y deep links; no sustituye el estado real del sistema. Consumer: Properties, búsquedas, mensajes/visitas, operaciones, seguridad. Profesional: Leads, Listings, collaborations/transfers, performance, Organization/Projects, billing. Marketing se configura aparte.</w:t>
      </w:r>
    </w:p>
    <w:p>
      <w:pPr>
        <w:pStyle w:val="Heading2"/>
      </w:pPr>
      <w:r>
        <w:t>18.3 Account deletion</w:t>
      </w:r>
    </w:p>
    <w:p>
      <w:r>
        <w:t>Ruta visible dentro de la app. Si controla Listings, puede transferirlos o retirar todos y continuar. Organization no puede bloquear indefinidamente la eliminación. PII y UGC personal se eliminan/desasocian salvo base legal/handover; histórico estructurado puede preservarse legítimamente anonimizado/agregado.</w:t>
      </w:r>
    </w:p>
    <w:p>
      <w:pPr>
        <w:pStyle w:val="Heading1"/>
      </w:pPr>
      <w:r>
        <w:t>19. Admin, Backoffice y Moderación</w:t>
      </w:r>
    </w:p>
    <w:p>
      <w:r>
        <w:t>Backoffice web desktop-first, separado de la app pública. Principio de mínimo privilegio y trazabilidad total.</w:t>
      </w:r>
    </w:p>
    <w:p>
      <w:r>
        <w:rPr>
          <w:b/>
        </w:rPr>
        <w:t xml:space="preserve">Dominios: </w:t>
      </w:r>
      <w:r>
        <w:t>Operations · Users &amp; Profiles · Organizations · Properties / Listings / MarketCycles · Projects · Trust &amp; Verification · Reports &amp; Moderation · Duplicates / Property Identity · Geo / City Market Config · Insights / Data Controls · Plus / Billing Support · Audit / Security</w:t>
      </w:r>
    </w:p>
    <w:p>
      <w:pPr>
        <w:pStyle w:val="Heading2"/>
      </w:pPr>
      <w:r>
        <w:t>19.1 AdminCase</w:t>
      </w:r>
    </w:p>
    <w:p>
      <w:r>
        <w:t>NEW → TRIAGED → IN_REVIEW → WAITING_USER → RESOLVED, con ESCALATED / DISMISSED / REOPENED. Los reportes son señales para revisar, no culpabilidad automática.</w:t>
      </w:r>
    </w:p>
    <w:p>
      <w:pPr>
        <w:pStyle w:val="Heading2"/>
      </w:pPr>
      <w:r>
        <w:t>19.2 Escalera de moderación</w:t>
      </w:r>
    </w:p>
    <w:p>
      <w:r>
        <w:t>Observar → pedir reconfirmación → pedir corrección → ocultar dato → pausar Listing → restringir función → suspender cuenta/Organization → remover contenido/cuenta activa. Fraude, suplantación, amenaza o seguridad pueden justificar saltar pasos.</w:t>
      </w:r>
    </w:p>
    <w:p>
      <w:pPr>
        <w:pStyle w:val="Heading2"/>
      </w:pPr>
      <w:r>
        <w:t>19.3 Privacidad interna</w:t>
      </w:r>
    </w:p>
    <w:p>
      <w:r>
        <w:t>Admin no tiene acceso general a chats. Solo reporte, fraude/abuso, seguridad o requerimiento legal con rol específico, razón y audit log. Mensajes no se explotan semánticamente para Insights.</w:t>
      </w:r>
    </w:p>
    <w:p>
      <w:pPr>
        <w:pStyle w:val="Heading1"/>
      </w:pPr>
      <w:r>
        <w:t>20. Legal-by-Design y Store Compliance</w:t>
      </w:r>
    </w:p>
    <w:p>
      <w:pPr>
        <w:pStyle w:val="KazaPrinciple"/>
      </w:pPr>
      <w:r>
        <w:t>Kaza diseña correctamente el rol que cumple antes de intentar limitar responsabilidad con textos legales.</w:t>
      </w:r>
    </w:p>
    <w:tbl>
      <w:tblPr>
        <w:tblW w:type="auto" w:w="0"/>
        <w:jc w:val="center"/>
        <w:tblLook w:firstColumn="1" w:firstRow="1" w:lastColumn="0" w:lastRow="0" w:noHBand="0" w:noVBand="1" w:val="04A0"/>
      </w:tblPr>
      <w:tblGrid>
        <w:gridCol w:w="5112"/>
        <w:gridCol w:w="5112"/>
      </w:tblGrid>
      <w:tr>
        <w:trPr>
          <w:tblHeader w:val="true"/>
        </w:trPr>
        <w:tc>
          <w:tcPr>
            <w:tcW w:type="dxa" w:w="5112"/>
            <w:shd w:fill="24245E"/>
          </w:tcPr>
          <w:p>
            <w:r>
              <w:rPr>
                <w:b/>
                <w:color w:val="FFFFFF"/>
                <w:sz w:val="16"/>
              </w:rPr>
              <w:t>Concepto</w:t>
            </w:r>
          </w:p>
        </w:tc>
        <w:tc>
          <w:tcPr>
            <w:tcW w:type="dxa" w:w="5112"/>
            <w:shd w:fill="24245E"/>
          </w:tcPr>
          <w:p>
            <w:r>
              <w:rPr>
                <w:b/>
                <w:color w:val="FFFFFF"/>
                <w:sz w:val="16"/>
              </w:rPr>
              <w:t>Límite jurídico/producto</w:t>
            </w:r>
          </w:p>
        </w:tc>
      </w:tr>
      <w:tr>
        <w:tc>
          <w:tcPr>
            <w:tcW w:type="dxa" w:w="5112"/>
            <w:tcMar>
              <w:top w:w="75" w:type="dxa"/>
              <w:start w:w="80" w:type="dxa"/>
              <w:bottom w:w="75" w:type="dxa"/>
              <w:end w:w="80" w:type="dxa"/>
            </w:tcMar>
          </w:tcPr>
          <w:p>
            <w:r>
              <w:rPr>
                <w:sz w:val="16"/>
              </w:rPr>
              <w:t>Listing</w:t>
            </w:r>
          </w:p>
        </w:tc>
        <w:tc>
          <w:tcPr>
            <w:tcW w:type="dxa" w:w="5112"/>
            <w:tcMar>
              <w:top w:w="75" w:type="dxa"/>
              <w:start w:w="80" w:type="dxa"/>
              <w:bottom w:w="75" w:type="dxa"/>
              <w:end w:w="80" w:type="dxa"/>
            </w:tcMar>
          </w:tcPr>
          <w:p>
            <w:r>
              <w:rPr>
                <w:sz w:val="16"/>
              </w:rPr>
              <w:t>No es Property ni título registral</w:t>
            </w:r>
          </w:p>
        </w:tc>
      </w:tr>
      <w:tr>
        <w:tc>
          <w:tcPr>
            <w:tcW w:type="dxa" w:w="5112"/>
            <w:tcMar>
              <w:top w:w="75" w:type="dxa"/>
              <w:start w:w="80" w:type="dxa"/>
              <w:bottom w:w="75" w:type="dxa"/>
              <w:end w:w="80" w:type="dxa"/>
            </w:tcMar>
          </w:tcPr>
          <w:p>
            <w:r>
              <w:rPr>
                <w:sz w:val="16"/>
              </w:rPr>
              <w:t>Controller</w:t>
            </w:r>
          </w:p>
        </w:tc>
        <w:tc>
          <w:tcPr>
            <w:tcW w:type="dxa" w:w="5112"/>
            <w:tcMar>
              <w:top w:w="75" w:type="dxa"/>
              <w:start w:w="80" w:type="dxa"/>
              <w:bottom w:w="75" w:type="dxa"/>
              <w:end w:w="80" w:type="dxa"/>
            </w:tcMar>
          </w:tcPr>
          <w:p>
            <w:r>
              <w:rPr>
                <w:sz w:val="16"/>
              </w:rPr>
              <w:t>No es propietario legal</w:t>
            </w:r>
          </w:p>
        </w:tc>
      </w:tr>
      <w:tr>
        <w:tc>
          <w:tcPr>
            <w:tcW w:type="dxa" w:w="5112"/>
            <w:tcMar>
              <w:top w:w="75" w:type="dxa"/>
              <w:start w:w="80" w:type="dxa"/>
              <w:bottom w:w="75" w:type="dxa"/>
              <w:end w:w="80" w:type="dxa"/>
            </w:tcMar>
          </w:tcPr>
          <w:p>
            <w:r>
              <w:rPr>
                <w:sz w:val="16"/>
              </w:rPr>
              <w:t>Trust</w:t>
            </w:r>
          </w:p>
        </w:tc>
        <w:tc>
          <w:tcPr>
            <w:tcW w:type="dxa" w:w="5112"/>
            <w:tcMar>
              <w:top w:w="75" w:type="dxa"/>
              <w:start w:w="80" w:type="dxa"/>
              <w:bottom w:w="75" w:type="dxa"/>
              <w:end w:w="80" w:type="dxa"/>
            </w:tcMar>
          </w:tcPr>
          <w:p>
            <w:r>
              <w:rPr>
                <w:sz w:val="16"/>
              </w:rPr>
              <w:t>No es garantía</w:t>
            </w:r>
          </w:p>
        </w:tc>
      </w:tr>
      <w:tr>
        <w:tc>
          <w:tcPr>
            <w:tcW w:type="dxa" w:w="5112"/>
            <w:tcMar>
              <w:top w:w="75" w:type="dxa"/>
              <w:start w:w="80" w:type="dxa"/>
              <w:bottom w:w="75" w:type="dxa"/>
              <w:end w:w="80" w:type="dxa"/>
            </w:tcMar>
          </w:tcPr>
          <w:p>
            <w:r>
              <w:rPr>
                <w:sz w:val="16"/>
              </w:rPr>
              <w:t>Reserva</w:t>
            </w:r>
          </w:p>
        </w:tc>
        <w:tc>
          <w:tcPr>
            <w:tcW w:type="dxa" w:w="5112"/>
            <w:tcMar>
              <w:top w:w="75" w:type="dxa"/>
              <w:start w:w="80" w:type="dxa"/>
              <w:bottom w:w="75" w:type="dxa"/>
              <w:end w:w="80" w:type="dxa"/>
            </w:tcMar>
          </w:tcPr>
          <w:p>
            <w:r>
              <w:rPr>
                <w:sz w:val="16"/>
              </w:rPr>
              <w:t>No es contrato, señal económica ni derecho real</w:t>
            </w:r>
          </w:p>
        </w:tc>
      </w:tr>
      <w:tr>
        <w:tc>
          <w:tcPr>
            <w:tcW w:type="dxa" w:w="5112"/>
            <w:tcMar>
              <w:top w:w="75" w:type="dxa"/>
              <w:start w:w="80" w:type="dxa"/>
              <w:bottom w:w="75" w:type="dxa"/>
              <w:end w:w="80" w:type="dxa"/>
            </w:tcMar>
          </w:tcPr>
          <w:p>
            <w:r>
              <w:rPr>
                <w:sz w:val="16"/>
              </w:rPr>
              <w:t>Transaction status</w:t>
            </w:r>
          </w:p>
        </w:tc>
        <w:tc>
          <w:tcPr>
            <w:tcW w:type="dxa" w:w="5112"/>
            <w:tcMar>
              <w:top w:w="75" w:type="dxa"/>
              <w:start w:w="80" w:type="dxa"/>
              <w:bottom w:w="75" w:type="dxa"/>
              <w:end w:w="80" w:type="dxa"/>
            </w:tcMar>
          </w:tcPr>
          <w:p>
            <w:r>
              <w:rPr>
                <w:sz w:val="16"/>
              </w:rPr>
              <w:t>No es escritura ni transferencia registral</w:t>
            </w:r>
          </w:p>
        </w:tc>
      </w:tr>
      <w:tr>
        <w:tc>
          <w:tcPr>
            <w:tcW w:type="dxa" w:w="5112"/>
            <w:tcMar>
              <w:top w:w="75" w:type="dxa"/>
              <w:start w:w="80" w:type="dxa"/>
              <w:bottom w:w="75" w:type="dxa"/>
              <w:end w:w="80" w:type="dxa"/>
            </w:tcMar>
          </w:tcPr>
          <w:p>
            <w:r>
              <w:rPr>
                <w:sz w:val="16"/>
              </w:rPr>
              <w:t>Collaboration</w:t>
            </w:r>
          </w:p>
        </w:tc>
        <w:tc>
          <w:tcPr>
            <w:tcW w:type="dxa" w:w="5112"/>
            <w:tcMar>
              <w:top w:w="75" w:type="dxa"/>
              <w:start w:w="80" w:type="dxa"/>
              <w:bottom w:w="75" w:type="dxa"/>
              <w:end w:w="80" w:type="dxa"/>
            </w:tcMar>
          </w:tcPr>
          <w:p>
            <w:r>
              <w:rPr>
                <w:sz w:val="16"/>
              </w:rPr>
              <w:t>No es mandato</w:t>
            </w:r>
          </w:p>
        </w:tc>
      </w:tr>
      <w:tr>
        <w:tc>
          <w:tcPr>
            <w:tcW w:type="dxa" w:w="5112"/>
            <w:tcMar>
              <w:top w:w="75" w:type="dxa"/>
              <w:start w:w="80" w:type="dxa"/>
              <w:bottom w:w="75" w:type="dxa"/>
              <w:end w:w="80" w:type="dxa"/>
            </w:tcMar>
          </w:tcPr>
          <w:p>
            <w:r>
              <w:rPr>
                <w:sz w:val="16"/>
              </w:rPr>
              <w:t>Finance simulation</w:t>
            </w:r>
          </w:p>
        </w:tc>
        <w:tc>
          <w:tcPr>
            <w:tcW w:type="dxa" w:w="5112"/>
            <w:tcMar>
              <w:top w:w="75" w:type="dxa"/>
              <w:start w:w="80" w:type="dxa"/>
              <w:bottom w:w="75" w:type="dxa"/>
              <w:end w:w="80" w:type="dxa"/>
            </w:tcMar>
          </w:tcPr>
          <w:p>
            <w:r>
              <w:rPr>
                <w:sz w:val="16"/>
              </w:rPr>
              <w:t>No es oferta ni aprobación</w:t>
            </w:r>
          </w:p>
        </w:tc>
      </w:tr>
      <w:tr>
        <w:tc>
          <w:tcPr>
            <w:tcW w:type="dxa" w:w="5112"/>
            <w:tcMar>
              <w:top w:w="75" w:type="dxa"/>
              <w:start w:w="80" w:type="dxa"/>
              <w:bottom w:w="75" w:type="dxa"/>
              <w:end w:w="80" w:type="dxa"/>
            </w:tcMar>
          </w:tcPr>
          <w:p>
            <w:r>
              <w:rPr>
                <w:sz w:val="16"/>
              </w:rPr>
              <w:t>Plus</w:t>
            </w:r>
          </w:p>
        </w:tc>
        <w:tc>
          <w:tcPr>
            <w:tcW w:type="dxa" w:w="5112"/>
            <w:tcMar>
              <w:top w:w="75" w:type="dxa"/>
              <w:start w:w="80" w:type="dxa"/>
              <w:bottom w:w="75" w:type="dxa"/>
              <w:end w:w="80" w:type="dxa"/>
            </w:tcMar>
          </w:tcPr>
          <w:p>
            <w:r>
              <w:rPr>
                <w:sz w:val="16"/>
              </w:rPr>
              <w:t>No compra credibilidad</w:t>
            </w:r>
          </w:p>
        </w:tc>
      </w:tr>
      <w:tr>
        <w:tc>
          <w:tcPr>
            <w:tcW w:type="dxa" w:w="5112"/>
            <w:tcMar>
              <w:top w:w="75" w:type="dxa"/>
              <w:start w:w="80" w:type="dxa"/>
              <w:bottom w:w="75" w:type="dxa"/>
              <w:end w:w="80" w:type="dxa"/>
            </w:tcMar>
          </w:tcPr>
          <w:p>
            <w:r>
              <w:rPr>
                <w:sz w:val="16"/>
              </w:rPr>
              <w:t>Media / IA</w:t>
            </w:r>
          </w:p>
        </w:tc>
        <w:tc>
          <w:tcPr>
            <w:tcW w:type="dxa" w:w="5112"/>
            <w:tcMar>
              <w:top w:w="75" w:type="dxa"/>
              <w:start w:w="80" w:type="dxa"/>
              <w:bottom w:w="75" w:type="dxa"/>
              <w:end w:w="80" w:type="dxa"/>
            </w:tcMar>
          </w:tcPr>
          <w:p>
            <w:r>
              <w:rPr>
                <w:sz w:val="16"/>
              </w:rPr>
              <w:t>No certifica estado real</w:t>
            </w:r>
          </w:p>
        </w:tc>
      </w:tr>
    </w:tbl>
    <w:p>
      <w:pPr>
        <w:pStyle w:val="Heading2"/>
      </w:pPr>
      <w:r>
        <w:t>20.1 Apple / Google policy-by-design</w:t>
      </w:r>
    </w:p>
    <w:p>
      <w:r>
        <w:t>• UGC: Terms + reportar + bloquear + moderación desde MVP.</w:t>
      </w:r>
    </w:p>
    <w:p>
      <w:r>
        <w:t>• Account deletion realmente accesible; en Google también recurso web.</w:t>
      </w:r>
    </w:p>
    <w:p>
      <w:r>
        <w:t>• Plus/Pro digital siguen billing de tienda cuando aplica; Media física usa payment externo.</w:t>
      </w:r>
    </w:p>
    <w:p>
      <w:r>
        <w:t>• Permisos mínimos: system photo picker, ubicación contextual, no background location por defecto.</w:t>
      </w:r>
    </w:p>
    <w:p>
      <w:r>
        <w:t>• IA y Finance permanecen detrás de compliance gates hasta estar listos.</w:t>
      </w:r>
    </w:p>
    <w:p>
      <w:r>
        <w:t>• Review Workspace con cuentas demo estables y metadata honesta.</w:t>
      </w:r>
    </w:p>
    <w:p>
      <w:pPr>
        <w:pStyle w:val="Heading2"/>
      </w:pPr>
      <w:r>
        <w:t>20.2 Kaza Projects / preventa</w:t>
      </w:r>
    </w:p>
    <w:p>
      <w:r>
        <w:t>Legal Market Config define documentación/certificación aplicable por país. En Bolivia se identificó relevancia de Ley 453, DS 4732 y sistema VDDUC para modalidades de venta futura/preventa; el gating exacto y nombre de badges debe ser confirmado por asesoría legal local antes de producción.</w:t>
      </w:r>
    </w:p>
    <w:p>
      <w:pPr>
        <w:pStyle w:val="Heading1"/>
      </w:pPr>
      <w:r>
        <w:t>21. Arquitectura internacional y Market Launch Gate</w:t>
      </w:r>
    </w:p>
    <w:p>
      <w:pPr>
        <w:pStyle w:val="KazaPrinciple"/>
      </w:pPr>
      <w:r>
        <w:t>Kaza es international-ready, no worldwide-enabled automáticamente.</w:t>
      </w:r>
    </w:p>
    <w:p>
      <w:pPr>
        <w:jc w:val="center"/>
      </w:pPr>
      <w:r>
        <w:drawing>
          <wp:inline xmlns:a="http://schemas.openxmlformats.org/drawingml/2006/main" xmlns:pic="http://schemas.openxmlformats.org/drawingml/2006/picture">
            <wp:extent cx="5440680" cy="919351"/>
            <wp:docPr id="3" name="Picture 3" descr="Diagrama del ecosistema comercial de Kaza: Free, Plus, Pro, Inmobiliaria, Projects, Media, Insights, Enterprise y Urban." title="Diagrama del ecosistema comercial de Kaza"/>
            <wp:cNvGraphicFramePr>
              <a:graphicFrameLocks noChangeAspect="1"/>
            </wp:cNvGraphicFramePr>
            <a:graphic>
              <a:graphicData uri="http://schemas.openxmlformats.org/drawingml/2006/picture">
                <pic:pic>
                  <pic:nvPicPr>
                    <pic:cNvPr id="0" name="market_config.png"/>
                    <pic:cNvPicPr/>
                  </pic:nvPicPr>
                  <pic:blipFill>
                    <a:blip r:embed="rId13"/>
                    <a:stretch>
                      <a:fillRect/>
                    </a:stretch>
                  </pic:blipFill>
                  <pic:spPr>
                    <a:xfrm>
                      <a:off x="0" y="0"/>
                      <a:ext cx="5440680" cy="919351"/>
                    </a:xfrm>
                    <a:prstGeom prst="rect"/>
                  </pic:spPr>
                </pic:pic>
              </a:graphicData>
            </a:graphic>
          </wp:inline>
        </w:drawing>
      </w:r>
    </w:p>
    <w:p>
      <w:pPr>
        <w:pStyle w:val="KazaNote"/>
        <w:jc w:val="center"/>
      </w:pPr>
      <w:r>
        <w:t>Figura 3. Configuración local y puerta de habilitación comercial.</w:t>
      </w:r>
    </w:p>
    <w:p>
      <w:pPr>
        <w:pStyle w:val="Heading2"/>
      </w:pPr>
      <w:r>
        <w:t>21.1 Market Launch Compliance Gate</w:t>
      </w:r>
    </w:p>
    <w:p>
      <w:r>
        <w:t>RESEARCH → LEGAL_REVIEW → TECH_READY → STORE_READY → ENABLED. Cada país valida privacidad, consumer protection, real-estate licensing, discriminación, platform rules, edad, billing/tax, payments, marketing, Finance, AI, Media/drone, accesibilidad, sanctions/provider availability y vendor terms.</w:t>
      </w:r>
    </w:p>
    <w:p>
      <w:pPr>
        <w:pStyle w:val="Heading2"/>
      </w:pPr>
      <w:r>
        <w:t>21.2 Marketplace Mode vs Brokerage Mode</w:t>
      </w:r>
    </w:p>
    <w:p>
      <w:r>
        <w:t>Default internacional: MARKETPLACE_MODE. Kaza publica, conecta, organiza, facilita mensajes/visitas y vende herramientas/servicios. No representa fiduciariamente, no negocia en nombre de terceros, no custodia dinero de la operación y no cobra success fee por cierre sin revisión/licencia. BROKERAGE_MODE solo puede habilitarse mercado por mercado.</w:t>
      </w:r>
    </w:p>
    <w:p>
      <w:pPr>
        <w:pStyle w:val="Heading2"/>
      </w:pPr>
      <w:r>
        <w:t>21.3 Global compliance components</w:t>
      </w:r>
    </w:p>
    <w:p>
      <w:r>
        <w:t>• Global Privacy Rights Center + DataProcessing/Processor/InternationalTransfer Registries.</w:t>
      </w:r>
    </w:p>
    <w:p>
      <w:r>
        <w:t>• DSA/online platform flows cuando aplique: illegal-content notice, reasons, appeal y transparency.</w:t>
      </w:r>
    </w:p>
    <w:p>
      <w:r>
        <w:t>• AccessibilityReleaseGate con WCAG 2.2 AA como baseline.</w:t>
      </w:r>
    </w:p>
    <w:p>
      <w:r>
        <w:t>• Payment/PCI Gate y PaymentProviderRegistry.</w:t>
      </w:r>
    </w:p>
    <w:p>
      <w:r>
        <w:t>• MarketingConsent/SuppressionRegistry.</w:t>
      </w:r>
    </w:p>
    <w:p>
      <w:r>
        <w:t>• ConsumerContractPolicy por mercado.</w:t>
      </w:r>
    </w:p>
    <w:p>
      <w:r>
        <w:t>• MarketAvailabilityPolicy para sanctions/proveedores.</w:t>
      </w:r>
    </w:p>
    <w:p>
      <w:r>
        <w:t>• Vendor Compliance Registry para maps, AI, cloud, messaging, analytics y payments.</w:t>
      </w:r>
    </w:p>
    <w:p>
      <w:r>
        <w:t>• Tax/Invoicing en BillingMarketConfig.</w:t>
      </w:r>
    </w:p>
    <w:p>
      <w:pPr>
        <w:pStyle w:val="Heading1"/>
      </w:pPr>
      <w:r>
        <w:t>22. Seguridad, privacidad y accesibilidad</w:t>
      </w:r>
    </w:p>
    <w:p>
      <w:pPr>
        <w:pStyle w:val="Heading2"/>
      </w:pPr>
      <w:r>
        <w:t>22.1 Privacidad</w:t>
      </w:r>
    </w:p>
    <w:p>
      <w:r>
        <w:t>Guardados, búsquedas, comparación y notas son privadas por defecto. Canonical location interna se protege. Finance permanece en silo. Analytics/Insights usan agregación/pseudonimización y retención por categorías. Un SDK nuevo obliga a revisar App Privacy/Data Safety y el Vendor Registry.</w:t>
      </w:r>
    </w:p>
    <w:p>
      <w:pPr>
        <w:pStyle w:val="Heading2"/>
      </w:pPr>
      <w:r>
        <w:t>22.2 Seguridad</w:t>
      </w:r>
    </w:p>
    <w:p>
      <w:r>
        <w:t>MFA recomendado para profesionales/Organizations, sesiones/dispositivos revocables, reautenticación para acciones sensibles, audit logs de acciones administrativas y four-eyes principle para configuraciones críticas. Kaza no almacena PAN/CVV; usa PSP/tokenización/hosted components para minimizar scope PCI.</w:t>
      </w:r>
    </w:p>
    <w:p>
      <w:pPr>
        <w:pStyle w:val="Heading2"/>
      </w:pPr>
      <w:r>
        <w:t>22.3 Accesibilidad</w:t>
      </w:r>
    </w:p>
    <w:p>
      <w:r>
        <w:t>Baseline global: WCAG 2.2 AA para web y equivalentes nativos. VoiceOver/TalkBack, Dynamic Type, contraste, no depender solo del color, targets adecuados, focus/navigation, captions/transcripts cuando corresponda y autenticación accesible.</w:t>
      </w:r>
    </w:p>
    <w:p>
      <w:pPr>
        <w:pStyle w:val="Heading1"/>
      </w:pPr>
      <w:r>
        <w:t>23. Invariantes del sistema</w:t>
      </w:r>
    </w:p>
    <w:p>
      <w:pPr>
        <w:ind w:left="173" w:hanging="173"/>
      </w:pPr>
      <w:r>
        <w:rPr>
          <w:b/>
          <w:color w:val="E86E25"/>
        </w:rPr>
        <w:t xml:space="preserve">01. </w:t>
      </w:r>
      <w:r>
        <w:t>Property ID es inmutable y nunca se reutiliza.</w:t>
      </w:r>
    </w:p>
    <w:p>
      <w:pPr>
        <w:ind w:left="173" w:hanging="173"/>
      </w:pPr>
      <w:r>
        <w:rPr>
          <w:b/>
          <w:color w:val="E86E25"/>
        </w:rPr>
        <w:t xml:space="preserve">02. </w:t>
      </w:r>
      <w:r>
        <w:t>Listing nunca sustituye a Property.</w:t>
      </w:r>
    </w:p>
    <w:p>
      <w:pPr>
        <w:ind w:left="173" w:hanging="173"/>
      </w:pPr>
      <w:r>
        <w:rPr>
          <w:b/>
          <w:color w:val="E86E25"/>
        </w:rPr>
        <w:t xml:space="preserve">03. </w:t>
      </w:r>
      <w:r>
        <w:t>MarketCycle describe el episodio de mercado, no al agente.</w:t>
      </w:r>
    </w:p>
    <w:p>
      <w:pPr>
        <w:ind w:left="173" w:hanging="173"/>
      </w:pPr>
      <w:r>
        <w:rPr>
          <w:b/>
          <w:color w:val="E86E25"/>
        </w:rPr>
        <w:t xml:space="preserve">04. </w:t>
      </w:r>
      <w:r>
        <w:t>Cambiar controller no reinicia MarketCycle ni DOM.</w:t>
      </w:r>
    </w:p>
    <w:p>
      <w:pPr>
        <w:ind w:left="173" w:hanging="173"/>
      </w:pPr>
      <w:r>
        <w:rPr>
          <w:b/>
          <w:color w:val="E86E25"/>
        </w:rPr>
        <w:t xml:space="preserve">05. </w:t>
      </w:r>
      <w:r>
        <w:t>Colaboración comparte un Listing; múltiples Listings son independientes.</w:t>
      </w:r>
    </w:p>
    <w:p>
      <w:pPr>
        <w:ind w:left="173" w:hanging="173"/>
      </w:pPr>
      <w:r>
        <w:rPr>
          <w:b/>
          <w:color w:val="E86E25"/>
        </w:rPr>
        <w:t xml:space="preserve">06. </w:t>
      </w:r>
      <w:r>
        <w:t>El controller controla la publicación, no la propiedad legal.</w:t>
      </w:r>
    </w:p>
    <w:p>
      <w:pPr>
        <w:ind w:left="173" w:hanging="173"/>
      </w:pPr>
      <w:r>
        <w:rPr>
          <w:b/>
          <w:color w:val="E86E25"/>
        </w:rPr>
        <w:t xml:space="preserve">07. </w:t>
      </w:r>
      <w:r>
        <w:t>Owner/Agent/Organization son relaciones temporales o roles, no identidad física.</w:t>
      </w:r>
    </w:p>
    <w:p>
      <w:pPr>
        <w:ind w:left="173" w:hanging="173"/>
      </w:pPr>
      <w:r>
        <w:rPr>
          <w:b/>
          <w:color w:val="E86E25"/>
        </w:rPr>
        <w:t xml:space="preserve">08. </w:t>
      </w:r>
      <w:r>
        <w:t>Plus/Pro/Media no alteran Trust, Reputation ni Property Identity.</w:t>
      </w:r>
    </w:p>
    <w:p>
      <w:pPr>
        <w:ind w:left="173" w:hanging="173"/>
      </w:pPr>
      <w:r>
        <w:rPr>
          <w:b/>
          <w:color w:val="E86E25"/>
        </w:rPr>
        <w:t xml:space="preserve">09. </w:t>
      </w:r>
      <w:r>
        <w:t>Conversaciones personales no se transfieren con un Listing.</w:t>
      </w:r>
    </w:p>
    <w:p>
      <w:pPr>
        <w:ind w:left="173" w:hanging="173"/>
      </w:pPr>
      <w:r>
        <w:rPr>
          <w:b/>
          <w:color w:val="E86E25"/>
        </w:rPr>
        <w:t xml:space="preserve">10. </w:t>
      </w:r>
      <w:r>
        <w:t>Conversation de Organization pertenece al Workspace cuando el usuario fue informado de ese contexto.</w:t>
      </w:r>
    </w:p>
    <w:p>
      <w:pPr>
        <w:ind w:left="173" w:hanging="173"/>
      </w:pPr>
      <w:r>
        <w:rPr>
          <w:b/>
          <w:color w:val="E86E25"/>
        </w:rPr>
        <w:t xml:space="preserve">11. </w:t>
      </w:r>
      <w:r>
        <w:t>ReservationRecord puede sobrevivir una transferencia; el chat no.</w:t>
      </w:r>
    </w:p>
    <w:p>
      <w:pPr>
        <w:ind w:left="173" w:hanging="173"/>
      </w:pPr>
      <w:r>
        <w:rPr>
          <w:b/>
          <w:color w:val="E86E25"/>
        </w:rPr>
        <w:t xml:space="preserve">12. </w:t>
      </w:r>
      <w:r>
        <w:t>No auto-merge por coordenada o señal difusa aislada.</w:t>
      </w:r>
    </w:p>
    <w:p>
      <w:pPr>
        <w:ind w:left="173" w:hanging="173"/>
      </w:pPr>
      <w:r>
        <w:rPr>
          <w:b/>
          <w:color w:val="E86E25"/>
        </w:rPr>
        <w:t xml:space="preserve">13. </w:t>
      </w:r>
      <w:r>
        <w:t>Ubicación pública puede ser menos precisa que la interna.</w:t>
      </w:r>
    </w:p>
    <w:p>
      <w:pPr>
        <w:ind w:left="173" w:hanging="173"/>
      </w:pPr>
      <w:r>
        <w:rPr>
          <w:b/>
          <w:color w:val="E86E25"/>
        </w:rPr>
        <w:t xml:space="preserve">14. </w:t>
      </w:r>
      <w:r>
        <w:t>Un “por confirmar” nunca se convierte silenciosamente en “no”.</w:t>
      </w:r>
    </w:p>
    <w:p>
      <w:pPr>
        <w:ind w:left="173" w:hanging="173"/>
      </w:pPr>
      <w:r>
        <w:rPr>
          <w:b/>
          <w:color w:val="E86E25"/>
        </w:rPr>
        <w:t xml:space="preserve">15. </w:t>
      </w:r>
      <w:r>
        <w:t>Asking price, closing price y conversion FX son conceptos distintos.</w:t>
      </w:r>
    </w:p>
    <w:p>
      <w:pPr>
        <w:ind w:left="173" w:hanging="173"/>
      </w:pPr>
      <w:r>
        <w:rPr>
          <w:b/>
          <w:color w:val="E86E25"/>
        </w:rPr>
        <w:t xml:space="preserve">16. </w:t>
      </w:r>
      <w:r>
        <w:t>Orgánico y promocionado se registran por separado.</w:t>
      </w:r>
    </w:p>
    <w:p>
      <w:pPr>
        <w:ind w:left="173" w:hanging="173"/>
      </w:pPr>
      <w:r>
        <w:rPr>
          <w:b/>
          <w:color w:val="E86E25"/>
        </w:rPr>
        <w:t xml:space="preserve">17. </w:t>
      </w:r>
      <w:r>
        <w:t>IA no es fuente canónica de hechos.</w:t>
      </w:r>
    </w:p>
    <w:p>
      <w:pPr>
        <w:ind w:left="173" w:hanging="173"/>
      </w:pPr>
      <w:r>
        <w:rPr>
          <w:b/>
          <w:color w:val="E86E25"/>
        </w:rPr>
        <w:t xml:space="preserve">18. </w:t>
      </w:r>
      <w:r>
        <w:t>Admin no corrige silenciosamente sin provenance/audit.</w:t>
      </w:r>
    </w:p>
    <w:p>
      <w:pPr>
        <w:ind w:left="173" w:hanging="173"/>
      </w:pPr>
      <w:r>
        <w:rPr>
          <w:b/>
          <w:color w:val="E86E25"/>
        </w:rPr>
        <w:t xml:space="preserve">19. </w:t>
      </w:r>
      <w:r>
        <w:t>Preservar historia de mercado no implica conservar PII o UGC personal indefinidamente.</w:t>
      </w:r>
    </w:p>
    <w:p>
      <w:pPr>
        <w:ind w:left="173" w:hanging="173"/>
      </w:pPr>
      <w:r>
        <w:rPr>
          <w:b/>
          <w:color w:val="E86E25"/>
        </w:rPr>
        <w:t xml:space="preserve">20. </w:t>
      </w:r>
      <w:r>
        <w:t>Una feature que represente, negocie, custodie dinero o cobre por cierre activa REGULATORY_REVIEW_REQUIRED.</w:t>
      </w:r>
    </w:p>
    <w:p>
      <w:pPr>
        <w:pStyle w:val="Heading1"/>
      </w:pPr>
      <w:r>
        <w:t>24. Roadmap y handoff a desarrollo</w:t>
      </w:r>
    </w:p>
    <w:p>
      <w:r>
        <w:t>El Master cierra la arquitectura funcional. El siguiente trabajo no es seguir añadiendo features indefinidamente, sino traducir estas decisiones a UX, modelos técnicos y contratos de implementación.</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24245E"/>
          </w:tcPr>
          <w:p>
            <w:r>
              <w:rPr>
                <w:b/>
                <w:color w:val="FFFFFF"/>
                <w:sz w:val="16"/>
              </w:rPr>
              <w:t>Fase</w:t>
            </w:r>
          </w:p>
        </w:tc>
        <w:tc>
          <w:tcPr>
            <w:tcW w:type="dxa" w:w="2556"/>
            <w:shd w:fill="24245E"/>
          </w:tcPr>
          <w:p>
            <w:r>
              <w:rPr>
                <w:b/>
                <w:color w:val="FFFFFF"/>
                <w:sz w:val="16"/>
              </w:rPr>
              <w:t>Objetivo</w:t>
            </w:r>
          </w:p>
        </w:tc>
        <w:tc>
          <w:tcPr>
            <w:tcW w:type="dxa" w:w="2556"/>
            <w:shd w:fill="24245E"/>
          </w:tcPr>
          <w:p>
            <w:r>
              <w:rPr>
                <w:b/>
                <w:color w:val="FFFFFF"/>
                <w:sz w:val="16"/>
              </w:rPr>
              <w:t>Artefactos principales</w:t>
            </w:r>
          </w:p>
        </w:tc>
        <w:tc>
          <w:tcPr>
            <w:tcW w:type="dxa" w:w="2556"/>
            <w:shd w:fill="24245E"/>
          </w:tcPr>
          <w:p>
            <w:r>
              <w:rPr>
                <w:b/>
                <w:color w:val="FFFFFF"/>
                <w:sz w:val="16"/>
              </w:rPr>
              <w:t>Gate de salida</w:t>
            </w:r>
          </w:p>
        </w:tc>
      </w:tr>
      <w:tr>
        <w:tc>
          <w:tcPr>
            <w:tcW w:type="dxa" w:w="2556"/>
            <w:tcMar>
              <w:top w:w="75" w:type="dxa"/>
              <w:start w:w="70" w:type="dxa"/>
              <w:bottom w:w="75" w:type="dxa"/>
              <w:end w:w="70" w:type="dxa"/>
            </w:tcMar>
          </w:tcPr>
          <w:p>
            <w:r>
              <w:rPr>
                <w:sz w:val="15"/>
              </w:rPr>
              <w:t>1. UX/UI System</w:t>
            </w:r>
          </w:p>
        </w:tc>
        <w:tc>
          <w:tcPr>
            <w:tcW w:type="dxa" w:w="2556"/>
            <w:tcMar>
              <w:top w:w="75" w:type="dxa"/>
              <w:start w:w="70" w:type="dxa"/>
              <w:bottom w:w="75" w:type="dxa"/>
              <w:end w:w="70" w:type="dxa"/>
            </w:tcMar>
          </w:tcPr>
          <w:p>
            <w:r>
              <w:rPr>
                <w:sz w:val="15"/>
              </w:rPr>
              <w:t>Convertir reglas en experiencia</w:t>
            </w:r>
          </w:p>
        </w:tc>
        <w:tc>
          <w:tcPr>
            <w:tcW w:type="dxa" w:w="2556"/>
            <w:tcMar>
              <w:top w:w="75" w:type="dxa"/>
              <w:start w:w="70" w:type="dxa"/>
              <w:bottom w:w="75" w:type="dxa"/>
              <w:end w:w="70" w:type="dxa"/>
            </w:tcMar>
          </w:tcPr>
          <w:p>
            <w:r>
              <w:rPr>
                <w:sz w:val="15"/>
              </w:rPr>
              <w:t>Information architecture, flows, components, accessibility</w:t>
            </w:r>
          </w:p>
        </w:tc>
        <w:tc>
          <w:tcPr>
            <w:tcW w:type="dxa" w:w="2556"/>
            <w:tcMar>
              <w:top w:w="75" w:type="dxa"/>
              <w:start w:w="70" w:type="dxa"/>
              <w:bottom w:w="75" w:type="dxa"/>
              <w:end w:w="70" w:type="dxa"/>
            </w:tcMar>
          </w:tcPr>
          <w:p>
            <w:r>
              <w:rPr>
                <w:sz w:val="15"/>
              </w:rPr>
              <w:t>Journeys críticos aprobados</w:t>
            </w:r>
          </w:p>
        </w:tc>
      </w:tr>
      <w:tr>
        <w:tc>
          <w:tcPr>
            <w:tcW w:type="dxa" w:w="2556"/>
            <w:tcMar>
              <w:top w:w="75" w:type="dxa"/>
              <w:start w:w="70" w:type="dxa"/>
              <w:bottom w:w="75" w:type="dxa"/>
              <w:end w:w="70" w:type="dxa"/>
            </w:tcMar>
          </w:tcPr>
          <w:p>
            <w:r>
              <w:rPr>
                <w:sz w:val="15"/>
              </w:rPr>
              <w:t>2. Technical Architecture</w:t>
            </w:r>
          </w:p>
        </w:tc>
        <w:tc>
          <w:tcPr>
            <w:tcW w:type="dxa" w:w="2556"/>
            <w:tcMar>
              <w:top w:w="75" w:type="dxa"/>
              <w:start w:w="70" w:type="dxa"/>
              <w:bottom w:w="75" w:type="dxa"/>
              <w:end w:w="70" w:type="dxa"/>
            </w:tcMar>
          </w:tcPr>
          <w:p>
            <w:r>
              <w:rPr>
                <w:sz w:val="15"/>
              </w:rPr>
              <w:t>Convertir dominio en software</w:t>
            </w:r>
          </w:p>
        </w:tc>
        <w:tc>
          <w:tcPr>
            <w:tcW w:type="dxa" w:w="2556"/>
            <w:tcMar>
              <w:top w:w="75" w:type="dxa"/>
              <w:start w:w="70" w:type="dxa"/>
              <w:bottom w:w="75" w:type="dxa"/>
              <w:end w:w="70" w:type="dxa"/>
            </w:tcMar>
          </w:tcPr>
          <w:p>
            <w:r>
              <w:rPr>
                <w:sz w:val="15"/>
              </w:rPr>
              <w:t>C4, ERD, state machines, permissions, APIs, events, vendor choices</w:t>
            </w:r>
          </w:p>
        </w:tc>
        <w:tc>
          <w:tcPr>
            <w:tcW w:type="dxa" w:w="2556"/>
            <w:tcMar>
              <w:top w:w="75" w:type="dxa"/>
              <w:start w:w="70" w:type="dxa"/>
              <w:bottom w:w="75" w:type="dxa"/>
              <w:end w:w="70" w:type="dxa"/>
            </w:tcMar>
          </w:tcPr>
          <w:p>
            <w:r>
              <w:rPr>
                <w:sz w:val="15"/>
              </w:rPr>
              <w:t>Architecture v1.0 aprobada</w:t>
            </w:r>
          </w:p>
        </w:tc>
      </w:tr>
      <w:tr>
        <w:tc>
          <w:tcPr>
            <w:tcW w:type="dxa" w:w="2556"/>
            <w:tcMar>
              <w:top w:w="75" w:type="dxa"/>
              <w:start w:w="70" w:type="dxa"/>
              <w:bottom w:w="75" w:type="dxa"/>
              <w:end w:w="70" w:type="dxa"/>
            </w:tcMar>
          </w:tcPr>
          <w:p>
            <w:r>
              <w:rPr>
                <w:sz w:val="15"/>
              </w:rPr>
              <w:t>3. MVP Specification</w:t>
            </w:r>
          </w:p>
        </w:tc>
        <w:tc>
          <w:tcPr>
            <w:tcW w:type="dxa" w:w="2556"/>
            <w:tcMar>
              <w:top w:w="75" w:type="dxa"/>
              <w:start w:w="70" w:type="dxa"/>
              <w:bottom w:w="75" w:type="dxa"/>
              <w:end w:w="70" w:type="dxa"/>
            </w:tcMar>
          </w:tcPr>
          <w:p>
            <w:r>
              <w:rPr>
                <w:sz w:val="15"/>
              </w:rPr>
              <w:t>Congelar alcance inicial</w:t>
            </w:r>
          </w:p>
        </w:tc>
        <w:tc>
          <w:tcPr>
            <w:tcW w:type="dxa" w:w="2556"/>
            <w:tcMar>
              <w:top w:w="75" w:type="dxa"/>
              <w:start w:w="70" w:type="dxa"/>
              <w:bottom w:w="75" w:type="dxa"/>
              <w:end w:w="70" w:type="dxa"/>
            </w:tcMar>
          </w:tcPr>
          <w:p>
            <w:r>
              <w:rPr>
                <w:sz w:val="15"/>
              </w:rPr>
              <w:t>Backlog, acceptance criteria, release gates</w:t>
            </w:r>
          </w:p>
        </w:tc>
        <w:tc>
          <w:tcPr>
            <w:tcW w:type="dxa" w:w="2556"/>
            <w:tcMar>
              <w:top w:w="75" w:type="dxa"/>
              <w:start w:w="70" w:type="dxa"/>
              <w:bottom w:w="75" w:type="dxa"/>
              <w:end w:w="70" w:type="dxa"/>
            </w:tcMar>
          </w:tcPr>
          <w:p>
            <w:r>
              <w:rPr>
                <w:sz w:val="15"/>
              </w:rPr>
              <w:t>Scope listo para build</w:t>
            </w:r>
          </w:p>
        </w:tc>
      </w:tr>
      <w:tr>
        <w:tc>
          <w:tcPr>
            <w:tcW w:type="dxa" w:w="2556"/>
            <w:tcMar>
              <w:top w:w="75" w:type="dxa"/>
              <w:start w:w="70" w:type="dxa"/>
              <w:bottom w:w="75" w:type="dxa"/>
              <w:end w:w="70" w:type="dxa"/>
            </w:tcMar>
          </w:tcPr>
          <w:p>
            <w:r>
              <w:rPr>
                <w:sz w:val="15"/>
              </w:rPr>
              <w:t>4. Build &amp; QA</w:t>
            </w:r>
          </w:p>
        </w:tc>
        <w:tc>
          <w:tcPr>
            <w:tcW w:type="dxa" w:w="2556"/>
            <w:tcMar>
              <w:top w:w="75" w:type="dxa"/>
              <w:start w:w="70" w:type="dxa"/>
              <w:bottom w:w="75" w:type="dxa"/>
              <w:end w:w="70" w:type="dxa"/>
            </w:tcMar>
          </w:tcPr>
          <w:p>
            <w:r>
              <w:rPr>
                <w:sz w:val="15"/>
              </w:rPr>
              <w:t>Implementar</w:t>
            </w:r>
          </w:p>
        </w:tc>
        <w:tc>
          <w:tcPr>
            <w:tcW w:type="dxa" w:w="2556"/>
            <w:tcMar>
              <w:top w:w="75" w:type="dxa"/>
              <w:start w:w="70" w:type="dxa"/>
              <w:bottom w:w="75" w:type="dxa"/>
              <w:end w:w="70" w:type="dxa"/>
            </w:tcMar>
          </w:tcPr>
          <w:p>
            <w:r>
              <w:rPr>
                <w:sz w:val="15"/>
              </w:rPr>
              <w:t>Mobile/web/admin/backend</w:t>
            </w:r>
          </w:p>
        </w:tc>
        <w:tc>
          <w:tcPr>
            <w:tcW w:type="dxa" w:w="2556"/>
            <w:tcMar>
              <w:top w:w="75" w:type="dxa"/>
              <w:start w:w="70" w:type="dxa"/>
              <w:bottom w:w="75" w:type="dxa"/>
              <w:end w:w="70" w:type="dxa"/>
            </w:tcMar>
          </w:tcPr>
          <w:p>
            <w:r>
              <w:rPr>
                <w:sz w:val="15"/>
              </w:rPr>
              <w:t>Store + market gates superados</w:t>
            </w:r>
          </w:p>
        </w:tc>
      </w:tr>
    </w:tbl>
    <w:p>
      <w:pPr>
        <w:pStyle w:val="Heading2"/>
      </w:pPr>
      <w:r>
        <w:t>24.1 Paquete documental recomendado para desarrollo</w:t>
      </w:r>
    </w:p>
    <w:p>
      <w:r>
        <w:t>• Product &amp; Architecture Master v0.2 (este documento).</w:t>
      </w:r>
    </w:p>
    <w:p>
      <w:r>
        <w:t>• Mapa conceptual general.</w:t>
      </w:r>
    </w:p>
    <w:p>
      <w:r>
        <w:t>• Technical Architecture en Markdown + Mermaid/C4.</w:t>
      </w:r>
    </w:p>
    <w:p>
      <w:r>
        <w:t>• ERD / Domain Model versionado.</w:t>
      </w:r>
    </w:p>
    <w:p>
      <w:r>
        <w:t>• State Machines.</w:t>
      </w:r>
    </w:p>
    <w:p>
      <w:r>
        <w:t>• Permission Matrix.</w:t>
      </w:r>
    </w:p>
    <w:p>
      <w:r>
        <w:t>• OpenAPI contract.</w:t>
      </w:r>
    </w:p>
    <w:p>
      <w:r>
        <w:t>• Event Catalog.</w:t>
      </w:r>
    </w:p>
    <w:p>
      <w:r>
        <w:t>• Architecture Decision Records (ADR).</w:t>
      </w:r>
    </w:p>
    <w:p>
      <w:r>
        <w:t>• Compliance release checklists por mercado/store.</w:t>
      </w:r>
    </w:p>
    <w:p>
      <w:pPr>
        <w:pStyle w:val="Heading2"/>
      </w:pPr>
      <w:r>
        <w:t>24.2 Decisiones que todavía NO conviene cerrar aquí</w:t>
      </w:r>
    </w:p>
    <w:p>
      <w:r>
        <w:t>Flutter vs React Native/native, cloud, backend framework, database/search stack, provider de mapas, PSP, auth, chat/realtime, observability y proveedor de IA deben decidirse en Technical Architecture. Precios exactos, límites de planes, trials y unit economics requieren validación comercial.</w:t>
      </w:r>
    </w:p>
    <w:p>
      <w:pPr>
        <w:pStyle w:val="Heading1"/>
      </w:pPr>
      <w:r>
        <w:t>25. Glosario</w:t>
      </w:r>
    </w:p>
    <w:tbl>
      <w:tblPr>
        <w:tblW w:type="auto" w:w="0"/>
        <w:jc w:val="center"/>
        <w:tblLook w:firstColumn="1" w:firstRow="1" w:lastColumn="0" w:lastRow="0" w:noHBand="0" w:noVBand="1" w:val="04A0"/>
      </w:tblPr>
      <w:tblGrid>
        <w:gridCol w:w="5112"/>
        <w:gridCol w:w="5112"/>
      </w:tblGrid>
      <w:tr>
        <w:trPr>
          <w:tblHeader w:val="true"/>
        </w:trPr>
        <w:tc>
          <w:tcPr>
            <w:tcW w:type="dxa" w:w="5112"/>
            <w:shd w:fill="24245E"/>
          </w:tcPr>
          <w:p>
            <w:r>
              <w:rPr>
                <w:b/>
                <w:color w:val="FFFFFF"/>
                <w:sz w:val="16"/>
              </w:rPr>
              <w:t>Término</w:t>
            </w:r>
          </w:p>
        </w:tc>
        <w:tc>
          <w:tcPr>
            <w:tcW w:type="dxa" w:w="5112"/>
            <w:shd w:fill="24245E"/>
          </w:tcPr>
          <w:p>
            <w:r>
              <w:rPr>
                <w:b/>
                <w:color w:val="FFFFFF"/>
                <w:sz w:val="16"/>
              </w:rPr>
              <w:t>Definición</w:t>
            </w:r>
          </w:p>
        </w:tc>
      </w:tr>
      <w:tr>
        <w:tc>
          <w:tcPr>
            <w:tcW w:type="dxa" w:w="5112"/>
            <w:tcMar>
              <w:top w:w="70" w:type="dxa"/>
              <w:start w:w="80" w:type="dxa"/>
              <w:bottom w:w="70" w:type="dxa"/>
              <w:end w:w="80" w:type="dxa"/>
            </w:tcMar>
          </w:tcPr>
          <w:p>
            <w:r>
              <w:rPr>
                <w:sz w:val="15"/>
              </w:rPr>
              <w:t>Property</w:t>
            </w:r>
          </w:p>
        </w:tc>
        <w:tc>
          <w:tcPr>
            <w:tcW w:type="dxa" w:w="5112"/>
            <w:tcMar>
              <w:top w:w="70" w:type="dxa"/>
              <w:start w:w="80" w:type="dxa"/>
              <w:bottom w:w="70" w:type="dxa"/>
              <w:end w:w="80" w:type="dxa"/>
            </w:tcMar>
          </w:tcPr>
          <w:p>
            <w:r>
              <w:rPr>
                <w:sz w:val="15"/>
              </w:rPr>
              <w:t>Activo inmobiliario permanente con identidad interna propia.</w:t>
            </w:r>
          </w:p>
        </w:tc>
      </w:tr>
      <w:tr>
        <w:tc>
          <w:tcPr>
            <w:tcW w:type="dxa" w:w="5112"/>
            <w:tcMar>
              <w:top w:w="70" w:type="dxa"/>
              <w:start w:w="80" w:type="dxa"/>
              <w:bottom w:w="70" w:type="dxa"/>
              <w:end w:w="80" w:type="dxa"/>
            </w:tcMar>
          </w:tcPr>
          <w:p>
            <w:r>
              <w:rPr>
                <w:sz w:val="15"/>
              </w:rPr>
              <w:t>MarketCycle</w:t>
            </w:r>
          </w:p>
        </w:tc>
        <w:tc>
          <w:tcPr>
            <w:tcW w:type="dxa" w:w="5112"/>
            <w:tcMar>
              <w:top w:w="70" w:type="dxa"/>
              <w:start w:w="80" w:type="dxa"/>
              <w:bottom w:w="70" w:type="dxa"/>
              <w:end w:w="80" w:type="dxa"/>
            </w:tcMar>
          </w:tcPr>
          <w:p>
            <w:r>
              <w:rPr>
                <w:sz w:val="15"/>
              </w:rPr>
              <w:t>Episodio real de comercialización de una Property para una operación.</w:t>
            </w:r>
          </w:p>
        </w:tc>
      </w:tr>
      <w:tr>
        <w:tc>
          <w:tcPr>
            <w:tcW w:type="dxa" w:w="5112"/>
            <w:tcMar>
              <w:top w:w="70" w:type="dxa"/>
              <w:start w:w="80" w:type="dxa"/>
              <w:bottom w:w="70" w:type="dxa"/>
              <w:end w:w="80" w:type="dxa"/>
            </w:tcMar>
          </w:tcPr>
          <w:p>
            <w:r>
              <w:rPr>
                <w:sz w:val="15"/>
              </w:rPr>
              <w:t>Listing</w:t>
            </w:r>
          </w:p>
        </w:tc>
        <w:tc>
          <w:tcPr>
            <w:tcW w:type="dxa" w:w="5112"/>
            <w:tcMar>
              <w:top w:w="70" w:type="dxa"/>
              <w:start w:w="80" w:type="dxa"/>
              <w:bottom w:w="70" w:type="dxa"/>
              <w:end w:w="80" w:type="dxa"/>
            </w:tcMar>
          </w:tcPr>
          <w:p>
            <w:r>
              <w:rPr>
                <w:sz w:val="15"/>
              </w:rPr>
              <w:t>Publicación comercial administrada por un Controller.</w:t>
            </w:r>
          </w:p>
        </w:tc>
      </w:tr>
      <w:tr>
        <w:tc>
          <w:tcPr>
            <w:tcW w:type="dxa" w:w="5112"/>
            <w:tcMar>
              <w:top w:w="70" w:type="dxa"/>
              <w:start w:w="80" w:type="dxa"/>
              <w:bottom w:w="70" w:type="dxa"/>
              <w:end w:w="80" w:type="dxa"/>
            </w:tcMar>
          </w:tcPr>
          <w:p>
            <w:r>
              <w:rPr>
                <w:sz w:val="15"/>
              </w:rPr>
              <w:t>Controller</w:t>
            </w:r>
          </w:p>
        </w:tc>
        <w:tc>
          <w:tcPr>
            <w:tcW w:type="dxa" w:w="5112"/>
            <w:tcMar>
              <w:top w:w="70" w:type="dxa"/>
              <w:start w:w="80" w:type="dxa"/>
              <w:bottom w:w="70" w:type="dxa"/>
              <w:end w:w="80" w:type="dxa"/>
            </w:tcMar>
          </w:tcPr>
          <w:p>
            <w:r>
              <w:rPr>
                <w:sz w:val="15"/>
              </w:rPr>
              <w:t>Actor con control operativo sobre un Listing.</w:t>
            </w:r>
          </w:p>
        </w:tc>
      </w:tr>
      <w:tr>
        <w:tc>
          <w:tcPr>
            <w:tcW w:type="dxa" w:w="5112"/>
            <w:tcMar>
              <w:top w:w="70" w:type="dxa"/>
              <w:start w:w="80" w:type="dxa"/>
              <w:bottom w:w="70" w:type="dxa"/>
              <w:end w:w="80" w:type="dxa"/>
            </w:tcMar>
          </w:tcPr>
          <w:p>
            <w:r>
              <w:rPr>
                <w:sz w:val="15"/>
              </w:rPr>
              <w:t>Collaborator</w:t>
            </w:r>
          </w:p>
        </w:tc>
        <w:tc>
          <w:tcPr>
            <w:tcW w:type="dxa" w:w="5112"/>
            <w:tcMar>
              <w:top w:w="70" w:type="dxa"/>
              <w:start w:w="80" w:type="dxa"/>
              <w:bottom w:w="70" w:type="dxa"/>
              <w:end w:w="80" w:type="dxa"/>
            </w:tcMar>
          </w:tcPr>
          <w:p>
            <w:r>
              <w:rPr>
                <w:sz w:val="15"/>
              </w:rPr>
              <w:t>Actor participante del mismo Listing sin versión paralela.</w:t>
            </w:r>
          </w:p>
        </w:tc>
      </w:tr>
      <w:tr>
        <w:tc>
          <w:tcPr>
            <w:tcW w:type="dxa" w:w="5112"/>
            <w:tcMar>
              <w:top w:w="70" w:type="dxa"/>
              <w:start w:w="80" w:type="dxa"/>
              <w:bottom w:w="70" w:type="dxa"/>
              <w:end w:w="80" w:type="dxa"/>
            </w:tcMar>
          </w:tcPr>
          <w:p>
            <w:r>
              <w:rPr>
                <w:sz w:val="15"/>
              </w:rPr>
              <w:t>Organization</w:t>
            </w:r>
          </w:p>
        </w:tc>
        <w:tc>
          <w:tcPr>
            <w:tcW w:type="dxa" w:w="5112"/>
            <w:tcMar>
              <w:top w:w="70" w:type="dxa"/>
              <w:start w:w="80" w:type="dxa"/>
              <w:bottom w:w="70" w:type="dxa"/>
              <w:end w:w="80" w:type="dxa"/>
            </w:tcMar>
          </w:tcPr>
          <w:p>
            <w:r>
              <w:rPr>
                <w:sz w:val="15"/>
              </w:rPr>
              <w:t>Workspace empresarial/inmobiliaria/Developer con roles y permisos.</w:t>
            </w:r>
          </w:p>
        </w:tc>
      </w:tr>
      <w:tr>
        <w:tc>
          <w:tcPr>
            <w:tcW w:type="dxa" w:w="5112"/>
            <w:tcMar>
              <w:top w:w="70" w:type="dxa"/>
              <w:start w:w="80" w:type="dxa"/>
              <w:bottom w:w="70" w:type="dxa"/>
              <w:end w:w="80" w:type="dxa"/>
            </w:tcMar>
          </w:tcPr>
          <w:p>
            <w:r>
              <w:rPr>
                <w:sz w:val="15"/>
              </w:rPr>
              <w:t>Interest</w:t>
            </w:r>
          </w:p>
        </w:tc>
        <w:tc>
          <w:tcPr>
            <w:tcW w:type="dxa" w:w="5112"/>
            <w:tcMar>
              <w:top w:w="70" w:type="dxa"/>
              <w:start w:w="80" w:type="dxa"/>
              <w:bottom w:w="70" w:type="dxa"/>
              <w:end w:w="80" w:type="dxa"/>
            </w:tcMar>
          </w:tcPr>
          <w:p>
            <w:r>
              <w:rPr>
                <w:sz w:val="15"/>
              </w:rPr>
              <w:t>Relación agregada User + Property + MarketCycle que evita inflar funnels.</w:t>
            </w:r>
          </w:p>
        </w:tc>
      </w:tr>
      <w:tr>
        <w:tc>
          <w:tcPr>
            <w:tcW w:type="dxa" w:w="5112"/>
            <w:tcMar>
              <w:top w:w="70" w:type="dxa"/>
              <w:start w:w="80" w:type="dxa"/>
              <w:bottom w:w="70" w:type="dxa"/>
              <w:end w:w="80" w:type="dxa"/>
            </w:tcMar>
          </w:tcPr>
          <w:p>
            <w:r>
              <w:rPr>
                <w:sz w:val="15"/>
              </w:rPr>
              <w:t>Lead</w:t>
            </w:r>
          </w:p>
        </w:tc>
        <w:tc>
          <w:tcPr>
            <w:tcW w:type="dxa" w:w="5112"/>
            <w:tcMar>
              <w:top w:w="70" w:type="dxa"/>
              <w:start w:w="80" w:type="dxa"/>
              <w:bottom w:w="70" w:type="dxa"/>
              <w:end w:w="80" w:type="dxa"/>
            </w:tcMar>
          </w:tcPr>
          <w:p>
            <w:r>
              <w:rPr>
                <w:sz w:val="15"/>
              </w:rPr>
              <w:t>Interacción comercial atribuida a un actor o Workspace.</w:t>
            </w:r>
          </w:p>
        </w:tc>
      </w:tr>
      <w:tr>
        <w:tc>
          <w:tcPr>
            <w:tcW w:type="dxa" w:w="5112"/>
            <w:tcMar>
              <w:top w:w="70" w:type="dxa"/>
              <w:start w:w="80" w:type="dxa"/>
              <w:bottom w:w="70" w:type="dxa"/>
              <w:end w:w="80" w:type="dxa"/>
            </w:tcMar>
          </w:tcPr>
          <w:p>
            <w:r>
              <w:rPr>
                <w:sz w:val="15"/>
              </w:rPr>
              <w:t>ReservationRecord</w:t>
            </w:r>
          </w:p>
        </w:tc>
        <w:tc>
          <w:tcPr>
            <w:tcW w:type="dxa" w:w="5112"/>
            <w:tcMar>
              <w:top w:w="70" w:type="dxa"/>
              <w:start w:w="80" w:type="dxa"/>
              <w:bottom w:w="70" w:type="dxa"/>
              <w:end w:w="80" w:type="dxa"/>
            </w:tcMar>
          </w:tcPr>
          <w:p>
            <w:r>
              <w:rPr>
                <w:sz w:val="15"/>
              </w:rPr>
              <w:t>Registro estructurado del estado de reserva, separado del chat.</w:t>
            </w:r>
          </w:p>
        </w:tc>
      </w:tr>
      <w:tr>
        <w:tc>
          <w:tcPr>
            <w:tcW w:type="dxa" w:w="5112"/>
            <w:tcMar>
              <w:top w:w="70" w:type="dxa"/>
              <w:start w:w="80" w:type="dxa"/>
              <w:bottom w:w="70" w:type="dxa"/>
              <w:end w:w="80" w:type="dxa"/>
            </w:tcMar>
          </w:tcPr>
          <w:p>
            <w:r>
              <w:rPr>
                <w:sz w:val="15"/>
              </w:rPr>
              <w:t>Transaction</w:t>
            </w:r>
          </w:p>
        </w:tc>
        <w:tc>
          <w:tcPr>
            <w:tcW w:type="dxa" w:w="5112"/>
            <w:tcMar>
              <w:top w:w="70" w:type="dxa"/>
              <w:start w:w="80" w:type="dxa"/>
              <w:bottom w:w="70" w:type="dxa"/>
              <w:end w:w="80" w:type="dxa"/>
            </w:tcMar>
          </w:tcPr>
          <w:p>
            <w:r>
              <w:rPr>
                <w:sz w:val="15"/>
              </w:rPr>
              <w:t>Hecho de mercado/cierre, contado una sola vez.</w:t>
            </w:r>
          </w:p>
        </w:tc>
      </w:tr>
      <w:tr>
        <w:tc>
          <w:tcPr>
            <w:tcW w:type="dxa" w:w="5112"/>
            <w:tcMar>
              <w:top w:w="70" w:type="dxa"/>
              <w:start w:w="80" w:type="dxa"/>
              <w:bottom w:w="70" w:type="dxa"/>
              <w:end w:w="80" w:type="dxa"/>
            </w:tcMar>
          </w:tcPr>
          <w:p>
            <w:r>
              <w:rPr>
                <w:sz w:val="15"/>
              </w:rPr>
              <w:t>Trust</w:t>
            </w:r>
          </w:p>
        </w:tc>
        <w:tc>
          <w:tcPr>
            <w:tcW w:type="dxa" w:w="5112"/>
            <w:tcMar>
              <w:top w:w="70" w:type="dxa"/>
              <w:start w:w="80" w:type="dxa"/>
              <w:bottom w:w="70" w:type="dxa"/>
              <w:end w:w="80" w:type="dxa"/>
            </w:tcMar>
          </w:tcPr>
          <w:p>
            <w:r>
              <w:rPr>
                <w:sz w:val="15"/>
              </w:rPr>
              <w:t>Estado de legitimidad/verificación del actor.</w:t>
            </w:r>
          </w:p>
        </w:tc>
      </w:tr>
      <w:tr>
        <w:tc>
          <w:tcPr>
            <w:tcW w:type="dxa" w:w="5112"/>
            <w:tcMar>
              <w:top w:w="70" w:type="dxa"/>
              <w:start w:w="80" w:type="dxa"/>
              <w:bottom w:w="70" w:type="dxa"/>
              <w:end w:w="80" w:type="dxa"/>
            </w:tcMar>
          </w:tcPr>
          <w:p>
            <w:r>
              <w:rPr>
                <w:sz w:val="15"/>
              </w:rPr>
              <w:t>Reputation</w:t>
            </w:r>
          </w:p>
        </w:tc>
        <w:tc>
          <w:tcPr>
            <w:tcW w:type="dxa" w:w="5112"/>
            <w:tcMar>
              <w:top w:w="70" w:type="dxa"/>
              <w:start w:w="80" w:type="dxa"/>
              <w:bottom w:w="70" w:type="dxa"/>
              <w:end w:w="80" w:type="dxa"/>
            </w:tcMar>
          </w:tcPr>
          <w:p>
            <w:r>
              <w:rPr>
                <w:sz w:val="15"/>
              </w:rPr>
              <w:t>Historial de comportamiento profesional.</w:t>
            </w:r>
          </w:p>
        </w:tc>
      </w:tr>
      <w:tr>
        <w:tc>
          <w:tcPr>
            <w:tcW w:type="dxa" w:w="5112"/>
            <w:tcMar>
              <w:top w:w="70" w:type="dxa"/>
              <w:start w:w="80" w:type="dxa"/>
              <w:bottom w:w="70" w:type="dxa"/>
              <w:end w:w="80" w:type="dxa"/>
            </w:tcMar>
          </w:tcPr>
          <w:p>
            <w:r>
              <w:rPr>
                <w:sz w:val="15"/>
              </w:rPr>
              <w:t>Listing Quality</w:t>
            </w:r>
          </w:p>
        </w:tc>
        <w:tc>
          <w:tcPr>
            <w:tcW w:type="dxa" w:w="5112"/>
            <w:tcMar>
              <w:top w:w="70" w:type="dxa"/>
              <w:start w:w="80" w:type="dxa"/>
              <w:bottom w:w="70" w:type="dxa"/>
              <w:end w:w="80" w:type="dxa"/>
            </w:tcMar>
          </w:tcPr>
          <w:p>
            <w:r>
              <w:rPr>
                <w:sz w:val="15"/>
              </w:rPr>
              <w:t>Calidad/completitud de la publicación, separada de Trust.</w:t>
            </w:r>
          </w:p>
        </w:tc>
      </w:tr>
      <w:tr>
        <w:tc>
          <w:tcPr>
            <w:tcW w:type="dxa" w:w="5112"/>
            <w:tcMar>
              <w:top w:w="70" w:type="dxa"/>
              <w:start w:w="80" w:type="dxa"/>
              <w:bottom w:w="70" w:type="dxa"/>
              <w:end w:w="80" w:type="dxa"/>
            </w:tcMar>
          </w:tcPr>
          <w:p>
            <w:r>
              <w:rPr>
                <w:sz w:val="15"/>
              </w:rPr>
              <w:t>Plus</w:t>
            </w:r>
          </w:p>
        </w:tc>
        <w:tc>
          <w:tcPr>
            <w:tcW w:type="dxa" w:w="5112"/>
            <w:tcMar>
              <w:top w:w="70" w:type="dxa"/>
              <w:start w:w="80" w:type="dxa"/>
              <w:bottom w:w="70" w:type="dxa"/>
              <w:end w:w="80" w:type="dxa"/>
            </w:tcMar>
          </w:tcPr>
          <w:p>
            <w:r>
              <w:rPr>
                <w:sz w:val="15"/>
              </w:rPr>
              <w:t>Promoción temporal aplicada a un Listing.</w:t>
            </w:r>
          </w:p>
        </w:tc>
      </w:tr>
      <w:tr>
        <w:tc>
          <w:tcPr>
            <w:tcW w:type="dxa" w:w="5112"/>
            <w:tcMar>
              <w:top w:w="70" w:type="dxa"/>
              <w:start w:w="80" w:type="dxa"/>
              <w:bottom w:w="70" w:type="dxa"/>
              <w:end w:w="80" w:type="dxa"/>
            </w:tcMar>
          </w:tcPr>
          <w:p>
            <w:r>
              <w:rPr>
                <w:sz w:val="15"/>
              </w:rPr>
              <w:t>Pro</w:t>
            </w:r>
          </w:p>
        </w:tc>
        <w:tc>
          <w:tcPr>
            <w:tcW w:type="dxa" w:w="5112"/>
            <w:tcMar>
              <w:top w:w="70" w:type="dxa"/>
              <w:start w:w="80" w:type="dxa"/>
              <w:bottom w:w="70" w:type="dxa"/>
              <w:end w:w="80" w:type="dxa"/>
            </w:tcMar>
          </w:tcPr>
          <w:p>
            <w:r>
              <w:rPr>
                <w:sz w:val="15"/>
              </w:rPr>
              <w:t>Suscripción profesional de un User.</w:t>
            </w:r>
          </w:p>
        </w:tc>
      </w:tr>
      <w:tr>
        <w:tc>
          <w:tcPr>
            <w:tcW w:type="dxa" w:w="5112"/>
            <w:tcMar>
              <w:top w:w="70" w:type="dxa"/>
              <w:start w:w="80" w:type="dxa"/>
              <w:bottom w:w="70" w:type="dxa"/>
              <w:end w:w="80" w:type="dxa"/>
            </w:tcMar>
          </w:tcPr>
          <w:p>
            <w:r>
              <w:rPr>
                <w:sz w:val="15"/>
              </w:rPr>
              <w:t>Kaza Media</w:t>
            </w:r>
          </w:p>
        </w:tc>
        <w:tc>
          <w:tcPr>
            <w:tcW w:type="dxa" w:w="5112"/>
            <w:tcMar>
              <w:top w:w="70" w:type="dxa"/>
              <w:start w:w="80" w:type="dxa"/>
              <w:bottom w:w="70" w:type="dxa"/>
              <w:end w:w="80" w:type="dxa"/>
            </w:tcMar>
          </w:tcPr>
          <w:p>
            <w:r>
              <w:rPr>
                <w:sz w:val="15"/>
              </w:rPr>
              <w:t>Servicio de producción física/digital gestionado por Kaza.</w:t>
            </w:r>
          </w:p>
        </w:tc>
      </w:tr>
      <w:tr>
        <w:tc>
          <w:tcPr>
            <w:tcW w:type="dxa" w:w="5112"/>
            <w:tcMar>
              <w:top w:w="70" w:type="dxa"/>
              <w:start w:w="80" w:type="dxa"/>
              <w:bottom w:w="70" w:type="dxa"/>
              <w:end w:w="80" w:type="dxa"/>
            </w:tcMar>
          </w:tcPr>
          <w:p>
            <w:r>
              <w:rPr>
                <w:sz w:val="15"/>
              </w:rPr>
              <w:t>DataClaim</w:t>
            </w:r>
          </w:p>
        </w:tc>
        <w:tc>
          <w:tcPr>
            <w:tcW w:type="dxa" w:w="5112"/>
            <w:tcMar>
              <w:top w:w="70" w:type="dxa"/>
              <w:start w:w="80" w:type="dxa"/>
              <w:bottom w:w="70" w:type="dxa"/>
              <w:end w:w="80" w:type="dxa"/>
            </w:tcMar>
          </w:tcPr>
          <w:p>
            <w:r>
              <w:rPr>
                <w:sz w:val="15"/>
              </w:rPr>
              <w:t>Afirmación con fuente, vigencia, confianza y verification state.</w:t>
            </w:r>
          </w:p>
        </w:tc>
      </w:tr>
      <w:tr>
        <w:tc>
          <w:tcPr>
            <w:tcW w:type="dxa" w:w="5112"/>
            <w:tcMar>
              <w:top w:w="70" w:type="dxa"/>
              <w:start w:w="80" w:type="dxa"/>
              <w:bottom w:w="70" w:type="dxa"/>
              <w:end w:w="80" w:type="dxa"/>
            </w:tcMar>
          </w:tcPr>
          <w:p>
            <w:r>
              <w:rPr>
                <w:sz w:val="15"/>
              </w:rPr>
              <w:t>promotion_context</w:t>
            </w:r>
          </w:p>
        </w:tc>
        <w:tc>
          <w:tcPr>
            <w:tcW w:type="dxa" w:w="5112"/>
            <w:tcMar>
              <w:top w:w="70" w:type="dxa"/>
              <w:start w:w="80" w:type="dxa"/>
              <w:bottom w:w="70" w:type="dxa"/>
              <w:end w:w="80" w:type="dxa"/>
            </w:tcMar>
          </w:tcPr>
          <w:p>
            <w:r>
              <w:rPr>
                <w:sz w:val="15"/>
              </w:rPr>
              <w:t>Atributo que separa exposición orgánica y promocionada.</w:t>
            </w:r>
          </w:p>
        </w:tc>
      </w:tr>
      <w:tr>
        <w:tc>
          <w:tcPr>
            <w:tcW w:type="dxa" w:w="5112"/>
            <w:tcMar>
              <w:top w:w="70" w:type="dxa"/>
              <w:start w:w="80" w:type="dxa"/>
              <w:bottom w:w="70" w:type="dxa"/>
              <w:end w:w="80" w:type="dxa"/>
            </w:tcMar>
          </w:tcPr>
          <w:p>
            <w:r>
              <w:rPr>
                <w:sz w:val="15"/>
              </w:rPr>
              <w:t>Legal Market Config</w:t>
            </w:r>
          </w:p>
        </w:tc>
        <w:tc>
          <w:tcPr>
            <w:tcW w:type="dxa" w:w="5112"/>
            <w:tcMar>
              <w:top w:w="70" w:type="dxa"/>
              <w:start w:w="80" w:type="dxa"/>
              <w:bottom w:w="70" w:type="dxa"/>
              <w:end w:w="80" w:type="dxa"/>
            </w:tcMar>
          </w:tcPr>
          <w:p>
            <w:r>
              <w:rPr>
                <w:sz w:val="15"/>
              </w:rPr>
              <w:t>Configuración legal y de compliance por mercado.</w:t>
            </w:r>
          </w:p>
        </w:tc>
      </w:tr>
      <w:tr>
        <w:tc>
          <w:tcPr>
            <w:tcW w:type="dxa" w:w="5112"/>
            <w:tcMar>
              <w:top w:w="70" w:type="dxa"/>
              <w:start w:w="80" w:type="dxa"/>
              <w:bottom w:w="70" w:type="dxa"/>
              <w:end w:w="80" w:type="dxa"/>
            </w:tcMar>
          </w:tcPr>
          <w:p>
            <w:r>
              <w:rPr>
                <w:sz w:val="15"/>
              </w:rPr>
              <w:t>Market Launch Compliance Gate</w:t>
            </w:r>
          </w:p>
        </w:tc>
        <w:tc>
          <w:tcPr>
            <w:tcW w:type="dxa" w:w="5112"/>
            <w:tcMar>
              <w:top w:w="70" w:type="dxa"/>
              <w:start w:w="80" w:type="dxa"/>
              <w:bottom w:w="70" w:type="dxa"/>
              <w:end w:w="80" w:type="dxa"/>
            </w:tcMar>
          </w:tcPr>
          <w:p>
            <w:r>
              <w:rPr>
                <w:sz w:val="15"/>
              </w:rPr>
              <w:t>Puerta que impide activar comercialmente un mercado antes de estar listo.</w:t>
            </w:r>
          </w:p>
        </w:tc>
      </w:tr>
    </w:tbl>
    <w:p>
      <w:pPr>
        <w:pStyle w:val="Heading1"/>
      </w:pPr>
      <w:r>
        <w:t>Anexo A. State machines conceptuales</w:t>
      </w:r>
    </w:p>
    <w:p>
      <w:pPr>
        <w:pStyle w:val="Heading2"/>
      </w:pPr>
      <w:r>
        <w:t>Listing</w:t>
      </w:r>
    </w:p>
    <w:p>
      <w:r>
        <w:rPr>
          <w:b/>
        </w:rPr>
        <w:t>DRAFT → REVIEW → AVAILABLE → RESERVED → CLOSED</w:t>
      </w:r>
      <w:r>
        <w:br/>
        <w:t>Ramas / excepciones: PAUSED · WITHDRAWN · STALE · SUSPENDED · ARCHIVED</w:t>
      </w:r>
    </w:p>
    <w:p>
      <w:pPr>
        <w:pStyle w:val="Heading2"/>
      </w:pPr>
      <w:r>
        <w:t>Control Transfer</w:t>
      </w:r>
    </w:p>
    <w:p>
      <w:r>
        <w:rPr>
          <w:b/>
        </w:rPr>
        <w:t>OFFERED → ACCEPTED</w:t>
      </w:r>
      <w:r>
        <w:br/>
        <w:t>Ramas / excepciones: DECLINED · CANCELLED · EXPIRED</w:t>
      </w:r>
    </w:p>
    <w:p>
      <w:pPr>
        <w:pStyle w:val="Heading2"/>
      </w:pPr>
      <w:r>
        <w:t>Reservation</w:t>
      </w:r>
    </w:p>
    <w:p>
      <w:r>
        <w:rPr>
          <w:b/>
        </w:rPr>
        <w:t>REQUESTED → REPORTED → CONFIRMED</w:t>
      </w:r>
      <w:r>
        <w:br/>
        <w:t>Ramas / excepciones: CANCELLED · EXPIRED · DISPUTED</w:t>
      </w:r>
    </w:p>
    <w:p>
      <w:pPr>
        <w:pStyle w:val="Heading2"/>
      </w:pPr>
      <w:r>
        <w:t>MarketCycle</w:t>
      </w:r>
    </w:p>
    <w:p>
      <w:r>
        <w:rPr>
          <w:b/>
        </w:rPr>
        <w:t>OPEN → CLOSURE_CLAIMED → CLOSED</w:t>
      </w:r>
      <w:r>
        <w:br/>
        <w:t>Ramas / excepciones: DISPUTED / REVIEW</w:t>
      </w:r>
    </w:p>
    <w:p>
      <w:pPr>
        <w:pStyle w:val="Heading2"/>
      </w:pPr>
      <w:r>
        <w:t>AdminCase</w:t>
      </w:r>
    </w:p>
    <w:p>
      <w:r>
        <w:rPr>
          <w:b/>
        </w:rPr>
        <w:t>NEW → TRIAGED → IN_REVIEW → WAITING_USER → RESOLVED</w:t>
      </w:r>
      <w:r>
        <w:br/>
        <w:t>Ramas / excepciones: ESCALATED · DISMISSED · REOPENED</w:t>
      </w:r>
    </w:p>
    <w:p>
      <w:pPr>
        <w:pStyle w:val="Heading2"/>
      </w:pPr>
      <w:r>
        <w:t>Verification</w:t>
      </w:r>
    </w:p>
    <w:p>
      <w:r>
        <w:rPr>
          <w:b/>
        </w:rPr>
        <w:t>PENDING → APPROVED</w:t>
      </w:r>
      <w:r>
        <w:br/>
        <w:t>Ramas / excepciones: REJECTED · EXPIRED · REVOKED</w:t>
      </w:r>
    </w:p>
    <w:p>
      <w:pPr>
        <w:pStyle w:val="Heading2"/>
      </w:pPr>
      <w:r>
        <w:t>Subscription</w:t>
      </w:r>
    </w:p>
    <w:p>
      <w:r>
        <w:rPr>
          <w:b/>
        </w:rPr>
        <w:t>TRIAL → ACTIVE</w:t>
      </w:r>
      <w:r>
        <w:br/>
        <w:t>Ramas / excepciones: PAST_DUE · GRACE_PERIOD · CANCEL_AT_PERIOD_END · CANCELLED · SUSPENDED · EXPIRED</w:t>
      </w:r>
    </w:p>
    <w:p>
      <w:pPr>
        <w:pStyle w:val="Heading2"/>
      </w:pPr>
      <w:r>
        <w:t>MediaOrder</w:t>
      </w:r>
    </w:p>
    <w:p>
      <w:r>
        <w:rPr>
          <w:b/>
        </w:rPr>
        <w:t>DRAFT → IN_PRODUCTION → REVIEW → APPROVED → DELIVERED</w:t>
      </w:r>
      <w:r>
        <w:br/>
        <w:t>Ramas / excepciones: REVISION_REQUESTED · CANCELLED · DISPUTED</w:t>
      </w:r>
    </w:p>
    <w:p>
      <w:r>
        <w:br w:type="page"/>
      </w:r>
    </w:p>
    <w:p>
      <w:pPr>
        <w:pStyle w:val="Heading1"/>
      </w:pPr>
      <w:r>
        <w:t>Anexo B. Matriz de permisos conceptual</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24245E"/>
          </w:tcPr>
          <w:p>
            <w:r>
              <w:rPr>
                <w:b/>
                <w:color w:val="FFFFFF"/>
                <w:sz w:val="14"/>
              </w:rPr>
              <w:t>Acción</w:t>
            </w:r>
          </w:p>
        </w:tc>
        <w:tc>
          <w:tcPr>
            <w:tcW w:type="dxa" w:w="1704"/>
            <w:shd w:fill="24245E"/>
          </w:tcPr>
          <w:p>
            <w:r>
              <w:rPr>
                <w:b/>
                <w:color w:val="FFFFFF"/>
                <w:sz w:val="14"/>
              </w:rPr>
              <w:t>User Controller</w:t>
            </w:r>
          </w:p>
        </w:tc>
        <w:tc>
          <w:tcPr>
            <w:tcW w:type="dxa" w:w="1704"/>
            <w:shd w:fill="24245E"/>
          </w:tcPr>
          <w:p>
            <w:r>
              <w:rPr>
                <w:b/>
                <w:color w:val="FFFFFF"/>
                <w:sz w:val="14"/>
              </w:rPr>
              <w:t>Collaborator</w:t>
            </w:r>
          </w:p>
        </w:tc>
        <w:tc>
          <w:tcPr>
            <w:tcW w:type="dxa" w:w="1704"/>
            <w:shd w:fill="24245E"/>
          </w:tcPr>
          <w:p>
            <w:r>
              <w:rPr>
                <w:b/>
                <w:color w:val="FFFFFF"/>
                <w:sz w:val="14"/>
              </w:rPr>
              <w:t>Org Admin</w:t>
            </w:r>
          </w:p>
        </w:tc>
        <w:tc>
          <w:tcPr>
            <w:tcW w:type="dxa" w:w="1704"/>
            <w:shd w:fill="24245E"/>
          </w:tcPr>
          <w:p>
            <w:r>
              <w:rPr>
                <w:b/>
                <w:color w:val="FFFFFF"/>
                <w:sz w:val="14"/>
              </w:rPr>
              <w:t>Org Operator</w:t>
            </w:r>
          </w:p>
        </w:tc>
        <w:tc>
          <w:tcPr>
            <w:tcW w:type="dxa" w:w="1704"/>
            <w:shd w:fill="24245E"/>
          </w:tcPr>
          <w:p>
            <w:r>
              <w:rPr>
                <w:b/>
                <w:color w:val="FFFFFF"/>
                <w:sz w:val="14"/>
              </w:rPr>
              <w:t>Kaza Admin</w:t>
            </w:r>
          </w:p>
        </w:tc>
      </w:tr>
      <w:tr>
        <w:tc>
          <w:tcPr>
            <w:tcW w:type="dxa" w:w="1704"/>
            <w:tcMar>
              <w:top w:w="60" w:type="dxa"/>
              <w:start w:w="50" w:type="dxa"/>
              <w:bottom w:w="60" w:type="dxa"/>
              <w:end w:w="50" w:type="dxa"/>
            </w:tcMar>
          </w:tcPr>
          <w:p>
            <w:r>
              <w:rPr>
                <w:sz w:val="14"/>
              </w:rPr>
              <w:t>Cambiar precio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Según permiso</w:t>
            </w:r>
          </w:p>
        </w:tc>
        <w:tc>
          <w:tcPr>
            <w:tcW w:type="dxa" w:w="1704"/>
            <w:tcMar>
              <w:top w:w="60" w:type="dxa"/>
              <w:start w:w="50" w:type="dxa"/>
              <w:bottom w:w="60" w:type="dxa"/>
              <w:end w:w="50" w:type="dxa"/>
            </w:tcMar>
          </w:tcPr>
          <w:p>
            <w:r>
              <w:rPr>
                <w:sz w:val="14"/>
              </w:rPr>
              <w:t>Solo excepción</w:t>
            </w:r>
          </w:p>
        </w:tc>
      </w:tr>
      <w:tr>
        <w:tc>
          <w:tcPr>
            <w:tcW w:type="dxa" w:w="1704"/>
            <w:tcMar>
              <w:top w:w="60" w:type="dxa"/>
              <w:start w:w="50" w:type="dxa"/>
              <w:bottom w:w="60" w:type="dxa"/>
              <w:end w:w="50" w:type="dxa"/>
            </w:tcMar>
          </w:tcPr>
          <w:p>
            <w:r>
              <w:rPr>
                <w:sz w:val="14"/>
              </w:rPr>
              <w:t>Cambiar media canónica</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Según permiso</w:t>
            </w:r>
          </w:p>
        </w:tc>
        <w:tc>
          <w:tcPr>
            <w:tcW w:type="dxa" w:w="1704"/>
            <w:tcMar>
              <w:top w:w="60" w:type="dxa"/>
              <w:start w:w="50" w:type="dxa"/>
              <w:bottom w:w="60" w:type="dxa"/>
              <w:end w:w="50" w:type="dxa"/>
            </w:tcMar>
          </w:tcPr>
          <w:p>
            <w:r>
              <w:rPr>
                <w:sz w:val="14"/>
              </w:rPr>
              <w:t>Moderación/caso</w:t>
            </w:r>
          </w:p>
        </w:tc>
      </w:tr>
      <w:tr>
        <w:tc>
          <w:tcPr>
            <w:tcW w:type="dxa" w:w="1704"/>
            <w:tcMar>
              <w:top w:w="60" w:type="dxa"/>
              <w:start w:w="50" w:type="dxa"/>
              <w:bottom w:w="60" w:type="dxa"/>
              <w:end w:w="50" w:type="dxa"/>
            </w:tcMar>
          </w:tcPr>
          <w:p>
            <w:r>
              <w:rPr>
                <w:sz w:val="14"/>
              </w:rPr>
              <w:t>Confirmar reserva</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Con permiso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Con permiso</w:t>
            </w:r>
          </w:p>
        </w:tc>
        <w:tc>
          <w:tcPr>
            <w:tcW w:type="dxa" w:w="1704"/>
            <w:tcMar>
              <w:top w:w="60" w:type="dxa"/>
              <w:start w:w="50" w:type="dxa"/>
              <w:bottom w:w="60" w:type="dxa"/>
              <w:end w:w="50" w:type="dxa"/>
            </w:tcMar>
          </w:tcPr>
          <w:p>
            <w:r>
              <w:rPr>
                <w:sz w:val="14"/>
              </w:rPr>
              <w:t>No</w:t>
            </w:r>
          </w:p>
        </w:tc>
      </w:tr>
      <w:tr>
        <w:tc>
          <w:tcPr>
            <w:tcW w:type="dxa" w:w="1704"/>
            <w:tcMar>
              <w:top w:w="60" w:type="dxa"/>
              <w:start w:w="50" w:type="dxa"/>
              <w:bottom w:w="60" w:type="dxa"/>
              <w:end w:w="50" w:type="dxa"/>
            </w:tcMar>
          </w:tcPr>
          <w:p>
            <w:r>
              <w:rPr>
                <w:sz w:val="14"/>
              </w:rPr>
              <w:t>Transferir control</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Excepcional</w:t>
            </w:r>
          </w:p>
        </w:tc>
      </w:tr>
      <w:tr>
        <w:tc>
          <w:tcPr>
            <w:tcW w:type="dxa" w:w="1704"/>
            <w:tcMar>
              <w:top w:w="60" w:type="dxa"/>
              <w:start w:w="50" w:type="dxa"/>
              <w:bottom w:w="60" w:type="dxa"/>
              <w:end w:w="50" w:type="dxa"/>
            </w:tcMar>
          </w:tcPr>
          <w:p>
            <w:r>
              <w:rPr>
                <w:sz w:val="14"/>
              </w:rPr>
              <w:t>Retirar Listing</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Sí</w:t>
            </w:r>
          </w:p>
        </w:tc>
        <w:tc>
          <w:tcPr>
            <w:tcW w:type="dxa" w:w="1704"/>
            <w:tcMar>
              <w:top w:w="60" w:type="dxa"/>
              <w:start w:w="50" w:type="dxa"/>
              <w:bottom w:w="60" w:type="dxa"/>
              <w:end w:w="50" w:type="dxa"/>
            </w:tcMar>
          </w:tcPr>
          <w:p>
            <w:r>
              <w:rPr>
                <w:sz w:val="14"/>
              </w:rPr>
              <w:t>Según permiso</w:t>
            </w:r>
          </w:p>
        </w:tc>
        <w:tc>
          <w:tcPr>
            <w:tcW w:type="dxa" w:w="1704"/>
            <w:tcMar>
              <w:top w:w="60" w:type="dxa"/>
              <w:start w:w="50" w:type="dxa"/>
              <w:bottom w:w="60" w:type="dxa"/>
              <w:end w:w="50" w:type="dxa"/>
            </w:tcMar>
          </w:tcPr>
          <w:p>
            <w:r>
              <w:rPr>
                <w:sz w:val="14"/>
              </w:rPr>
              <w:t>Moderación</w:t>
            </w:r>
          </w:p>
        </w:tc>
      </w:tr>
      <w:tr>
        <w:tc>
          <w:tcPr>
            <w:tcW w:type="dxa" w:w="1704"/>
            <w:tcMar>
              <w:top w:w="60" w:type="dxa"/>
              <w:start w:w="50" w:type="dxa"/>
              <w:bottom w:w="60" w:type="dxa"/>
              <w:end w:w="50" w:type="dxa"/>
            </w:tcMar>
          </w:tcPr>
          <w:p>
            <w:r>
              <w:rPr>
                <w:sz w:val="14"/>
              </w:rPr>
              <w:t>Ver chat personal</w:t>
            </w:r>
          </w:p>
        </w:tc>
        <w:tc>
          <w:tcPr>
            <w:tcW w:type="dxa" w:w="1704"/>
            <w:tcMar>
              <w:top w:w="60" w:type="dxa"/>
              <w:start w:w="50" w:type="dxa"/>
              <w:bottom w:w="60" w:type="dxa"/>
              <w:end w:w="50" w:type="dxa"/>
            </w:tcMar>
          </w:tcPr>
          <w:p>
            <w:r>
              <w:rPr>
                <w:sz w:val="14"/>
              </w:rPr>
              <w:t>Participante</w:t>
            </w:r>
          </w:p>
        </w:tc>
        <w:tc>
          <w:tcPr>
            <w:tcW w:type="dxa" w:w="1704"/>
            <w:tcMar>
              <w:top w:w="60" w:type="dxa"/>
              <w:start w:w="50" w:type="dxa"/>
              <w:bottom w:w="60" w:type="dxa"/>
              <w:end w:w="50" w:type="dxa"/>
            </w:tcMar>
          </w:tcPr>
          <w:p>
            <w:r>
              <w:rPr>
                <w:sz w:val="14"/>
              </w:rPr>
              <w:t>Participante</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Solo caso autorizado</w:t>
            </w:r>
          </w:p>
        </w:tc>
      </w:tr>
      <w:tr>
        <w:tc>
          <w:tcPr>
            <w:tcW w:type="dxa" w:w="1704"/>
            <w:tcMar>
              <w:top w:w="60" w:type="dxa"/>
              <w:start w:w="50" w:type="dxa"/>
              <w:bottom w:w="60" w:type="dxa"/>
              <w:end w:w="50" w:type="dxa"/>
            </w:tcMar>
          </w:tcPr>
          <w:p>
            <w:r>
              <w:rPr>
                <w:sz w:val="14"/>
              </w:rPr>
              <w:t>Ver Org conversation</w:t>
            </w:r>
          </w:p>
        </w:tc>
        <w:tc>
          <w:tcPr>
            <w:tcW w:type="dxa" w:w="1704"/>
            <w:tcMar>
              <w:top w:w="60" w:type="dxa"/>
              <w:start w:w="50" w:type="dxa"/>
              <w:bottom w:w="60" w:type="dxa"/>
              <w:end w:w="50" w:type="dxa"/>
            </w:tcMar>
          </w:tcPr>
          <w:p>
            <w:r>
              <w:rPr>
                <w:sz w:val="14"/>
              </w:rPr>
              <w:t>No salvo miembro</w:t>
            </w:r>
          </w:p>
        </w:tc>
        <w:tc>
          <w:tcPr>
            <w:tcW w:type="dxa" w:w="1704"/>
            <w:tcMar>
              <w:top w:w="60" w:type="dxa"/>
              <w:start w:w="50" w:type="dxa"/>
              <w:bottom w:w="60" w:type="dxa"/>
              <w:end w:w="50" w:type="dxa"/>
            </w:tcMar>
          </w:tcPr>
          <w:p>
            <w:r>
              <w:rPr>
                <w:sz w:val="14"/>
              </w:rPr>
              <w:t>Solo si asignado</w:t>
            </w:r>
          </w:p>
        </w:tc>
        <w:tc>
          <w:tcPr>
            <w:tcW w:type="dxa" w:w="1704"/>
            <w:tcMar>
              <w:top w:w="60" w:type="dxa"/>
              <w:start w:w="50" w:type="dxa"/>
              <w:bottom w:w="60" w:type="dxa"/>
              <w:end w:w="50" w:type="dxa"/>
            </w:tcMar>
          </w:tcPr>
          <w:p>
            <w:r>
              <w:rPr>
                <w:sz w:val="14"/>
              </w:rPr>
              <w:t>Según rol</w:t>
            </w:r>
          </w:p>
        </w:tc>
        <w:tc>
          <w:tcPr>
            <w:tcW w:type="dxa" w:w="1704"/>
            <w:tcMar>
              <w:top w:w="60" w:type="dxa"/>
              <w:start w:w="50" w:type="dxa"/>
              <w:bottom w:w="60" w:type="dxa"/>
              <w:end w:w="50" w:type="dxa"/>
            </w:tcMar>
          </w:tcPr>
          <w:p>
            <w:r>
              <w:rPr>
                <w:sz w:val="14"/>
              </w:rPr>
              <w:t>Según rol</w:t>
            </w:r>
          </w:p>
        </w:tc>
        <w:tc>
          <w:tcPr>
            <w:tcW w:type="dxa" w:w="1704"/>
            <w:tcMar>
              <w:top w:w="60" w:type="dxa"/>
              <w:start w:w="50" w:type="dxa"/>
              <w:bottom w:w="60" w:type="dxa"/>
              <w:end w:w="50" w:type="dxa"/>
            </w:tcMar>
          </w:tcPr>
          <w:p>
            <w:r>
              <w:rPr>
                <w:sz w:val="14"/>
              </w:rPr>
              <w:t>Solo caso autorizado</w:t>
            </w:r>
          </w:p>
        </w:tc>
      </w:tr>
      <w:tr>
        <w:tc>
          <w:tcPr>
            <w:tcW w:type="dxa" w:w="1704"/>
            <w:tcMar>
              <w:top w:w="60" w:type="dxa"/>
              <w:start w:w="50" w:type="dxa"/>
              <w:bottom w:w="60" w:type="dxa"/>
              <w:end w:w="50" w:type="dxa"/>
            </w:tcMar>
          </w:tcPr>
          <w:p>
            <w:r>
              <w:rPr>
                <w:sz w:val="14"/>
              </w:rPr>
              <w:t>Cambiar Trust</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Reviewer autorizado</w:t>
            </w:r>
          </w:p>
        </w:tc>
      </w:tr>
      <w:tr>
        <w:tc>
          <w:tcPr>
            <w:tcW w:type="dxa" w:w="1704"/>
            <w:tcMar>
              <w:top w:w="60" w:type="dxa"/>
              <w:start w:w="50" w:type="dxa"/>
              <w:bottom w:w="60" w:type="dxa"/>
              <w:end w:w="50" w:type="dxa"/>
            </w:tcMar>
          </w:tcPr>
          <w:p>
            <w:r>
              <w:rPr>
                <w:sz w:val="14"/>
              </w:rPr>
              <w:t>Merge Property</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No</w:t>
            </w:r>
          </w:p>
        </w:tc>
        <w:tc>
          <w:tcPr>
            <w:tcW w:type="dxa" w:w="1704"/>
            <w:tcMar>
              <w:top w:w="60" w:type="dxa"/>
              <w:start w:w="50" w:type="dxa"/>
              <w:bottom w:w="60" w:type="dxa"/>
              <w:end w:w="50" w:type="dxa"/>
            </w:tcMar>
          </w:tcPr>
          <w:p>
            <w:r>
              <w:rPr>
                <w:sz w:val="14"/>
              </w:rPr>
              <w:t>Data/Admin autorizado</w:t>
            </w:r>
          </w:p>
        </w:tc>
      </w:tr>
    </w:tbl>
    <w:p>
      <w:pPr>
        <w:pStyle w:val="KazaNote"/>
      </w:pPr>
      <w:r>
        <w:t>* Un collaborator puede editar el mismo contenido canónico únicamente si el controller le delega permiso explícito; no crea una versión propia.</w:t>
      </w:r>
    </w:p>
    <w:p>
      <w:r>
        <w:br w:type="page"/>
      </w:r>
    </w:p>
    <w:p>
      <w:pPr>
        <w:pStyle w:val="Heading1"/>
      </w:pPr>
      <w:r>
        <w:t>Anexo C. Referencias regulatorias de control</w:t>
      </w:r>
    </w:p>
    <w:p>
      <w:r>
        <w:t>Estas referencias son fuentes oficiales para revalidación. No convierten este Master en asesoría jurídica. Las políticas y obligaciones deben revisarse nuevamente antes de cada lanzamiento y al habilitar un nuevo mercado.</w:t>
      </w:r>
    </w:p>
    <w:tbl>
      <w:tblPr>
        <w:tblW w:type="auto" w:w="0"/>
        <w:jc w:val="center"/>
        <w:tblLook w:firstColumn="1" w:firstRow="1" w:lastColumn="0" w:lastRow="0" w:noHBand="0" w:noVBand="1" w:val="04A0"/>
      </w:tblPr>
      <w:tblGrid>
        <w:gridCol w:w="5112"/>
        <w:gridCol w:w="5112"/>
      </w:tblGrid>
      <w:tr>
        <w:trPr>
          <w:tblHeader w:val="true"/>
        </w:trPr>
        <w:tc>
          <w:tcPr>
            <w:tcW w:type="dxa" w:w="5112"/>
            <w:tcMar>
              <w:top w:w="95" w:type="dxa"/>
              <w:start w:w="100" w:type="dxa"/>
              <w:bottom w:w="95" w:type="dxa"/>
              <w:end w:w="100" w:type="dxa"/>
            </w:tcMar>
            <w:shd w:fill="F8F9FC"/>
            <w:tcBorders>
              <w:bottom w:val="single" w:sz="3" w:color="E8EAF2"/>
            </w:tcBorders>
          </w:tcPr>
          <w:p>
            <w:r>
              <w:rPr>
                <w:b/>
                <w:color w:val="202333"/>
                <w:sz w:val="16"/>
              </w:rPr>
              <w:t>Apple — App Review Guidelines</w:t>
              <w:br/>
            </w:r>
            <w:hyperlink r:id="rId14">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W3C — WCAG 2.2</w:t>
              <w:br/>
            </w:r>
            <w:hyperlink r:id="rId20">
              <w:r>
                <w:rPr>
                  <w:color w:val="2F65C8"/>
                  <w:u w:val="single"/>
                </w:rPr>
                <w:t>fuente oficial</w:t>
              </w:r>
            </w:hyperlink>
          </w:p>
        </w:tc>
      </w:tr>
      <w:tr>
        <w:tc>
          <w:tcPr>
            <w:tcW w:type="dxa" w:w="5112"/>
            <w:tcMar>
              <w:top w:w="95" w:type="dxa"/>
              <w:start w:w="100" w:type="dxa"/>
              <w:bottom w:w="95" w:type="dxa"/>
              <w:end w:w="100" w:type="dxa"/>
            </w:tcMar>
            <w:shd w:fill="F8F9FC"/>
            <w:tcBorders>
              <w:bottom w:val="single" w:sz="3" w:color="E8EAF2"/>
            </w:tcBorders>
          </w:tcPr>
          <w:p>
            <w:r>
              <w:rPr>
                <w:b/>
                <w:color w:val="202333"/>
                <w:sz w:val="16"/>
              </w:rPr>
              <w:t>Apple — Account deletion</w:t>
              <w:br/>
            </w:r>
            <w:hyperlink r:id="rId15">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PCI SSC — PCI DSS document library</w:t>
              <w:br/>
            </w:r>
            <w:hyperlink r:id="rId21">
              <w:r>
                <w:rPr>
                  <w:color w:val="2F65C8"/>
                  <w:u w:val="single"/>
                </w:rPr>
                <w:t>fuente oficial</w:t>
              </w:r>
            </w:hyperlink>
          </w:p>
        </w:tc>
      </w:tr>
      <w:tr>
        <w:tc>
          <w:tcPr>
            <w:tcW w:type="dxa" w:w="5112"/>
            <w:tcMar>
              <w:top w:w="95" w:type="dxa"/>
              <w:start w:w="100" w:type="dxa"/>
              <w:bottom w:w="95" w:type="dxa"/>
              <w:end w:w="100" w:type="dxa"/>
            </w:tcMar>
            <w:shd w:fill="F8F9FC"/>
            <w:tcBorders>
              <w:bottom w:val="single" w:sz="3" w:color="E8EAF2"/>
            </w:tcBorders>
          </w:tcPr>
          <w:p>
            <w:r>
              <w:rPr>
                <w:b/>
                <w:color w:val="202333"/>
                <w:sz w:val="16"/>
              </w:rPr>
              <w:t>Google Play — User Generated Content</w:t>
              <w:br/>
            </w:r>
            <w:hyperlink r:id="rId16">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Bolivia — Ley N° 453</w:t>
              <w:br/>
            </w:r>
            <w:hyperlink r:id="rId22">
              <w:r>
                <w:rPr>
                  <w:color w:val="2F65C8"/>
                  <w:u w:val="single"/>
                </w:rPr>
                <w:t>fuente oficial</w:t>
              </w:r>
            </w:hyperlink>
          </w:p>
        </w:tc>
      </w:tr>
      <w:tr>
        <w:tc>
          <w:tcPr>
            <w:tcW w:type="dxa" w:w="5112"/>
            <w:tcMar>
              <w:top w:w="95" w:type="dxa"/>
              <w:start w:w="100" w:type="dxa"/>
              <w:bottom w:w="95" w:type="dxa"/>
              <w:end w:w="100" w:type="dxa"/>
            </w:tcMar>
            <w:shd w:fill="F8F9FC"/>
            <w:tcBorders>
              <w:bottom w:val="single" w:sz="3" w:color="E8EAF2"/>
            </w:tcBorders>
          </w:tcPr>
          <w:p>
            <w:r>
              <w:rPr>
                <w:b/>
                <w:color w:val="202333"/>
                <w:sz w:val="16"/>
              </w:rPr>
              <w:t>Google Play — Account deletion</w:t>
              <w:br/>
            </w:r>
            <w:hyperlink r:id="rId17">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Bolivia — Ley N° 164</w:t>
              <w:br/>
            </w:r>
            <w:hyperlink r:id="rId23">
              <w:r>
                <w:rPr>
                  <w:color w:val="2F65C8"/>
                  <w:u w:val="single"/>
                </w:rPr>
                <w:t>fuente oficial</w:t>
              </w:r>
            </w:hyperlink>
          </w:p>
        </w:tc>
      </w:tr>
      <w:tr>
        <w:tc>
          <w:tcPr>
            <w:tcW w:type="dxa" w:w="5112"/>
            <w:tcMar>
              <w:top w:w="95" w:type="dxa"/>
              <w:start w:w="100" w:type="dxa"/>
              <w:bottom w:w="95" w:type="dxa"/>
              <w:end w:w="100" w:type="dxa"/>
            </w:tcMar>
            <w:shd w:fill="F8F9FC"/>
            <w:tcBorders>
              <w:bottom w:val="single" w:sz="3" w:color="E8EAF2"/>
            </w:tcBorders>
          </w:tcPr>
          <w:p>
            <w:r>
              <w:rPr>
                <w:b/>
                <w:color w:val="202333"/>
                <w:sz w:val="16"/>
              </w:rPr>
              <w:t>European Commission — Digital Services Act</w:t>
              <w:br/>
            </w:r>
            <w:hyperlink r:id="rId18">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Bolivia — Decreto Supremo N° 4732</w:t>
              <w:br/>
            </w:r>
            <w:hyperlink r:id="rId24">
              <w:r>
                <w:rPr>
                  <w:color w:val="2F65C8"/>
                  <w:u w:val="single"/>
                </w:rPr>
                <w:t>fuente oficial</w:t>
              </w:r>
            </w:hyperlink>
          </w:p>
        </w:tc>
      </w:tr>
      <w:tr>
        <w:tc>
          <w:tcPr>
            <w:tcW w:type="dxa" w:w="5112"/>
            <w:tcMar>
              <w:top w:w="95" w:type="dxa"/>
              <w:start w:w="100" w:type="dxa"/>
              <w:bottom w:w="95" w:type="dxa"/>
              <w:end w:w="100" w:type="dxa"/>
            </w:tcMar>
            <w:shd w:fill="F8F9FC"/>
            <w:tcBorders>
              <w:bottom w:val="single" w:sz="3" w:color="E8EAF2"/>
            </w:tcBorders>
          </w:tcPr>
          <w:p>
            <w:r>
              <w:rPr>
                <w:b/>
                <w:color w:val="202333"/>
                <w:sz w:val="16"/>
              </w:rPr>
              <w:t>EUR-Lex — GDPR, Regulation (EU) 2016/679</w:t>
              <w:br/>
            </w:r>
            <w:hyperlink r:id="rId19">
              <w:r>
                <w:rPr>
                  <w:color w:val="2F65C8"/>
                  <w:u w:val="single"/>
                </w:rPr>
                <w:t>fuente oficial</w:t>
              </w:r>
            </w:hyperlink>
          </w:p>
        </w:tc>
        <w:tc>
          <w:tcPr>
            <w:tcW w:type="dxa" w:w="5112"/>
            <w:tcMar>
              <w:top w:w="95" w:type="dxa"/>
              <w:start w:w="100" w:type="dxa"/>
              <w:bottom w:w="95" w:type="dxa"/>
              <w:end w:w="100" w:type="dxa"/>
            </w:tcMar>
            <w:shd w:fill="F8F9FC"/>
            <w:tcBorders>
              <w:bottom w:val="single" w:sz="3" w:color="E8EAF2"/>
            </w:tcBorders>
          </w:tcPr>
          <w:p>
            <w:r>
              <w:rPr>
                <w:b/>
                <w:color w:val="202333"/>
                <w:sz w:val="16"/>
              </w:rPr>
              <w:t>Bolivia — Sistema VDDUC</w:t>
              <w:br/>
            </w:r>
            <w:hyperlink r:id="rId25">
              <w:r>
                <w:rPr>
                  <w:color w:val="2F65C8"/>
                  <w:u w:val="single"/>
                </w:rPr>
                <w:t>fuente oficial</w:t>
              </w:r>
            </w:hyperlink>
          </w:p>
        </w:tc>
      </w:tr>
    </w:tbl>
    <w:p>
      <w:pPr>
        <w:sectPr>
          <w:headerReference w:type="default" r:id="rId9"/>
          <w:footerReference w:type="default" r:id="rId10"/>
          <w:pgSz w:w="12240" w:h="15840"/>
          <w:pgMar w:top="936" w:right="1008" w:bottom="864" w:left="1008" w:header="720" w:footer="720" w:gutter="0"/>
          <w:cols w:space="720"/>
          <w:docGrid w:linePitch="360"/>
        </w:sectPr>
      </w:pPr>
    </w:p>
    <w:p>
      <w:pPr>
        <w:pStyle w:val="Heading1"/>
        <w:spacing w:before="0" w:after="100"/>
      </w:pPr>
      <w:r>
        <w:t>Anexo D. Mapa conceptual general</w:t>
      </w:r>
    </w:p>
    <w:p>
      <w:pPr>
        <w:jc w:val="center"/>
      </w:pPr>
      <w:r>
        <w:drawing>
          <wp:inline xmlns:a="http://schemas.openxmlformats.org/drawingml/2006/main" xmlns:pic="http://schemas.openxmlformats.org/drawingml/2006/picture">
            <wp:extent cx="8458200" cy="5638800"/>
            <wp:docPr id="4" name="Picture 4" descr="Mapa conceptual general de la arquitectura Kaza, incluyendo experiencia de usuario, dominio, organizaciones, Trust, Admin, cumplimiento global y configuración por mercado." title="Mapa conceptual general de la arquitectura Kaza, incluyendo experiencia de usuario, dominio, organizaciones, Trust, Admin, cumplimiento global y configuración por mercado."/>
            <wp:cNvGraphicFramePr>
              <a:graphicFrameLocks noChangeAspect="1"/>
            </wp:cNvGraphicFramePr>
            <a:graphic>
              <a:graphicData uri="http://schemas.openxmlformats.org/drawingml/2006/picture">
                <pic:pic>
                  <pic:nvPicPr>
                    <pic:cNvPr id="0" name="a_high_resolution_infographic_architecture_diagr.png"/>
                    <pic:cNvPicPr/>
                  </pic:nvPicPr>
                  <pic:blipFill>
                    <a:blip r:embed="rId26"/>
                    <a:stretch>
                      <a:fillRect/>
                    </a:stretch>
                  </pic:blipFill>
                  <pic:spPr>
                    <a:xfrm>
                      <a:off x="0" y="0"/>
                      <a:ext cx="8458200" cy="5638800"/>
                    </a:xfrm>
                    <a:prstGeom prst="rect"/>
                  </pic:spPr>
                </pic:pic>
              </a:graphicData>
            </a:graphic>
          </wp:inline>
        </w:drawing>
      </w:r>
    </w:p>
    <w:p>
      <w:pPr>
        <w:pStyle w:val="KazaNote"/>
        <w:jc w:val="center"/>
      </w:pPr>
      <w:r>
        <w:t>Vista sintética de la arquitectura funcional consolidada. Ante cualquier discrepancia, prevalece el texto normativo del Master y la decisión más reciente aprobada.</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26777"/>
        <w:sz w:val="16"/>
      </w:rPr>
      <w:t xml:space="preserve">KAZA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5B3DA0"/>
        <w:sz w:val="15"/>
      </w:rPr>
      <w:t>KAZA  /  PRODUCT &amp; ARCHITECTURE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Inter" w:hAnsi="Inter"/>
      <w:color w:val="202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w:hAnsi="Inter"/>
      <w:b/>
      <w:bCs/>
      <w:color w:val="24245E"/>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b/>
      <w:bCs/>
      <w:color w:val="5B3DA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b/>
      <w:bCs/>
      <w:color w:val="2F65C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b/>
      <w:color w:val="24245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Inter" w:hAnsi="Inter"/>
      <w:b/>
      <w:i/>
      <w:iCs/>
      <w:color w:val="6267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zaEyebrow">
    <w:name w:val="Kaza Eyebrow"/>
    <w:pPr>
      <w:spacing w:after="100" w:line="259" w:lineRule="auto"/>
    </w:pPr>
    <w:rPr>
      <w:rFonts w:ascii="Inter" w:hAnsi="Inter"/>
      <w:b/>
      <w:color w:val="5B3DA0"/>
      <w:sz w:val="16"/>
    </w:rPr>
  </w:style>
  <w:style w:type="paragraph" w:customStyle="1" w:styleId="KazaLead">
    <w:name w:val="Kaza Lead"/>
    <w:pPr>
      <w:spacing w:after="100" w:line="259" w:lineRule="auto"/>
    </w:pPr>
    <w:rPr>
      <w:rFonts w:ascii="Inter" w:hAnsi="Inter"/>
      <w:b w:val="0"/>
      <w:color w:val="202333"/>
      <w:sz w:val="24"/>
    </w:rPr>
  </w:style>
  <w:style w:type="paragraph" w:customStyle="1" w:styleId="KazaNote">
    <w:name w:val="Kaza Note"/>
    <w:pPr>
      <w:spacing w:after="100" w:line="259" w:lineRule="auto"/>
    </w:pPr>
    <w:rPr>
      <w:rFonts w:ascii="Inter" w:hAnsi="Inter"/>
      <w:b w:val="0"/>
      <w:color w:val="626777"/>
      <w:sz w:val="17"/>
    </w:rPr>
  </w:style>
  <w:style w:type="paragraph" w:customStyle="1" w:styleId="KazaPrinciple">
    <w:name w:val="Kaza Principle"/>
    <w:pPr>
      <w:spacing w:after="100" w:line="259" w:lineRule="auto"/>
    </w:pPr>
    <w:rPr>
      <w:rFonts w:ascii="Inter" w:hAnsi="Inter"/>
      <w:b/>
      <w:color w:val="24245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veloper.apple.com/app-store/review/guidelines/" TargetMode="External"/><Relationship Id="rId15" Type="http://schemas.openxmlformats.org/officeDocument/2006/relationships/hyperlink" Target="https://developer.apple.com/support/offering-account-deletion-in-your-app" TargetMode="External"/><Relationship Id="rId16" Type="http://schemas.openxmlformats.org/officeDocument/2006/relationships/hyperlink" Target="https://support.google.com/googleplay/android-developer/answer/9876937" TargetMode="External"/><Relationship Id="rId17" Type="http://schemas.openxmlformats.org/officeDocument/2006/relationships/hyperlink" Target="https://support.google.com/googleplay/android-developer/answer/13327111" TargetMode="External"/><Relationship Id="rId18" Type="http://schemas.openxmlformats.org/officeDocument/2006/relationships/hyperlink" Target="https://commission.europa.eu/strategy-and-policy/priorities-2019-2024/europe-fit-digital-age/digital-services-act_en" TargetMode="External"/><Relationship Id="rId19" Type="http://schemas.openxmlformats.org/officeDocument/2006/relationships/hyperlink" Target="https://eur-lex.europa.eu/eli/reg/2016/679/oj/eng" TargetMode="External"/><Relationship Id="rId20" Type="http://schemas.openxmlformats.org/officeDocument/2006/relationships/hyperlink" Target="https://www.w3.org/TR/WCAG22/" TargetMode="External"/><Relationship Id="rId21" Type="http://schemas.openxmlformats.org/officeDocument/2006/relationships/hyperlink" Target="https://www.pcisecuritystandards.org/document_library/" TargetMode="External"/><Relationship Id="rId22" Type="http://schemas.openxmlformats.org/officeDocument/2006/relationships/hyperlink" Target="https://gacetaoficialdebolivia.gob.bo/normas/verGratis_gob/147245" TargetMode="External"/><Relationship Id="rId23" Type="http://schemas.openxmlformats.org/officeDocument/2006/relationships/hyperlink" Target="https://gacetaoficialdebolivia.gob.bo/normas/verGratis_gob1/139394" TargetMode="External"/><Relationship Id="rId24" Type="http://schemas.openxmlformats.org/officeDocument/2006/relationships/hyperlink" Target="https://gacetaoficialdebolivia.gob.bo/normas/buscar/4732" TargetMode="External"/><Relationship Id="rId25" Type="http://schemas.openxmlformats.org/officeDocument/2006/relationships/hyperlink" Target="https://vdduc.justicia.gob.bo/app/" TargetMode="External"/><Relationship Id="rId2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KAZA Product &amp; Architecture Master v0.2</dc:title>
  <dc:subject>Arquitectura funcional consolidada de Kaza</dc:subject>
  <dc:creator>KAZA</dc:creator>
  <cp:keywords>Kaza, real estate, product architecture, marketplace, proptech</cp:keywords>
  <dc:description>Documento maestro vivo. Versión 0.2.</dc:description>
  <cp:lastModifiedBy>KAZA</cp:lastModifiedBy>
  <cp:revision>1</cp:revision>
  <dcterms:created xsi:type="dcterms:W3CDTF">2013-12-23T23:15:00Z</dcterms:created>
  <dcterms:modified xsi:type="dcterms:W3CDTF">2013-12-23T23:15:00Z</dcterms:modified>
  <cp:category/>
</cp:coreProperties>
</file>