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4B88B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987B8C" w14:textId="2C03A9D5" w:rsidR="007742E6" w:rsidRPr="007742E6" w:rsidRDefault="007742E6" w:rsidP="007742E6">
      <w:pPr>
        <w:jc w:val="center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Описание предметной области: «Нефтегазовая промышленность»</w:t>
      </w:r>
    </w:p>
    <w:p w14:paraId="4EC87589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51F423" w14:textId="25C766C0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Краткая аннотация (</w:t>
      </w:r>
      <w:proofErr w:type="spellStart"/>
      <w:r w:rsidRPr="007742E6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7742E6">
        <w:rPr>
          <w:rFonts w:ascii="Times New Roman" w:hAnsi="Times New Roman" w:cs="Times New Roman"/>
          <w:sz w:val="28"/>
          <w:szCs w:val="28"/>
        </w:rPr>
        <w:t>)</w:t>
      </w:r>
    </w:p>
    <w:p w14:paraId="120FEE16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В данной работе проведен комплексный анализ предметной области «Нефтегазовая промышленность». Целью работы было освоение методов анализа сложных технико-экономических систем, выявление ключевых участников, производственных процессов, проблем и требований к цифровизации. В результате исследования сформировано структурированное описание сферы деятельности, определены основные роли участников (недропользователь, буровой подрядчик, сервисные компании, регуляторы), проанализированы типовые проблемы (аварийность, логистика, ценообразование). На основе анализа выделены функциональные и нефункциональные требования к потенциальной информационной системе класса (ERP/AEMS) для автоматизации управления производственными активами. Работа содержит выводы и рекомендации по оптимизации рабочих процессов через внедрение технологий Индустрии 4.0.</w:t>
      </w:r>
    </w:p>
    <w:p w14:paraId="082D6FC7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25D818" w14:textId="4524E4DD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Ключевые слова: нефтегазовая отрасль, добыча углеводородов, предметная область, анализ требований, управление активами, производственная безопасность, цифровизация, ERP.</w:t>
      </w:r>
    </w:p>
    <w:p w14:paraId="4AF48D9F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E6D51A" w14:textId="242C9FB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1. Общая характеристика предметной области</w:t>
      </w:r>
    </w:p>
    <w:p w14:paraId="2689EBFC" w14:textId="165EAE12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1.1. Определение сферы деятельности</w:t>
      </w:r>
    </w:p>
    <w:p w14:paraId="142EFC77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Нефтегазовая промышленность — это комплексная отрасль тяжелой промышленности, охватывающая разведку, бурение, добычу, транспортировку, переработку и сбыт углеводородов (нефти и природного газа). Деятельность характеризуется высокой капиталоемкостью, техногенной опасностью, стратегическим значением для экономики государства и жесткой зависимостью от геологических и макроэкономических факторов. Отрасль делится на три основных сектора: </w:t>
      </w:r>
      <w:proofErr w:type="spellStart"/>
      <w:r w:rsidRPr="007742E6">
        <w:rPr>
          <w:rFonts w:ascii="Times New Roman" w:hAnsi="Times New Roman" w:cs="Times New Roman"/>
          <w:sz w:val="28"/>
          <w:szCs w:val="28"/>
        </w:rPr>
        <w:t>Upstream</w:t>
      </w:r>
      <w:proofErr w:type="spellEnd"/>
      <w:r w:rsidRPr="007742E6">
        <w:rPr>
          <w:rFonts w:ascii="Times New Roman" w:hAnsi="Times New Roman" w:cs="Times New Roman"/>
          <w:sz w:val="28"/>
          <w:szCs w:val="28"/>
        </w:rPr>
        <w:t xml:space="preserve"> (разведка и добыча), </w:t>
      </w:r>
      <w:proofErr w:type="spellStart"/>
      <w:r w:rsidRPr="007742E6">
        <w:rPr>
          <w:rFonts w:ascii="Times New Roman" w:hAnsi="Times New Roman" w:cs="Times New Roman"/>
          <w:sz w:val="28"/>
          <w:szCs w:val="28"/>
        </w:rPr>
        <w:t>Midstream</w:t>
      </w:r>
      <w:proofErr w:type="spellEnd"/>
      <w:r w:rsidRPr="007742E6">
        <w:rPr>
          <w:rFonts w:ascii="Times New Roman" w:hAnsi="Times New Roman" w:cs="Times New Roman"/>
          <w:sz w:val="28"/>
          <w:szCs w:val="28"/>
        </w:rPr>
        <w:t xml:space="preserve"> (транспортировка и хранение) и </w:t>
      </w:r>
      <w:proofErr w:type="spellStart"/>
      <w:r w:rsidRPr="007742E6">
        <w:rPr>
          <w:rFonts w:ascii="Times New Roman" w:hAnsi="Times New Roman" w:cs="Times New Roman"/>
          <w:sz w:val="28"/>
          <w:szCs w:val="28"/>
        </w:rPr>
        <w:t>Downstream</w:t>
      </w:r>
      <w:proofErr w:type="spellEnd"/>
      <w:r w:rsidRPr="007742E6">
        <w:rPr>
          <w:rFonts w:ascii="Times New Roman" w:hAnsi="Times New Roman" w:cs="Times New Roman"/>
          <w:sz w:val="28"/>
          <w:szCs w:val="28"/>
        </w:rPr>
        <w:t xml:space="preserve"> (переработка и нефтехимия).</w:t>
      </w:r>
    </w:p>
    <w:p w14:paraId="69981381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313780" w14:textId="387EFECA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1.2. Основные участники и их роли</w:t>
      </w:r>
    </w:p>
    <w:p w14:paraId="1D2AD1BD" w14:textId="6DE3CFD8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lastRenderedPageBreak/>
        <w:t xml:space="preserve">   Недропользователь (Оператор / Добывающая компания): Юридическое лицо (например, ExxonMobil, Газпром нефть), владеющее лицензией на разработку месторождения. Финансирует проект, владеет инфраструктурой, несет ответственность за выполнение лицензионных соглашений.</w:t>
      </w:r>
    </w:p>
    <w:p w14:paraId="0EBD07E5" w14:textId="411035BC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Буровой подрядчик: Специализированная компания, предоставляющая буровые установки и бригады для строительства скважин.</w:t>
      </w:r>
    </w:p>
    <w:p w14:paraId="04E49391" w14:textId="29B79F50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Нефтесервисная компания: Организации, оказывающие специализированные услуги: геофизические исследования (ГИС), гидроразрыв пласта (ГРП), цементирование, ремонт скважин (КРС/ТКРС). Ключевые игроки: Schlumberger, Halliburton, БКЕ.</w:t>
      </w:r>
    </w:p>
    <w:p w14:paraId="4FFDDE11" w14:textId="79CC739E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Проектные и научно-исследовательские институты (ГИПРО)</w:t>
      </w:r>
      <w:proofErr w:type="gramStart"/>
      <w:r w:rsidRPr="007742E6">
        <w:rPr>
          <w:rFonts w:ascii="Times New Roman" w:hAnsi="Times New Roman" w:cs="Times New Roman"/>
          <w:sz w:val="28"/>
          <w:szCs w:val="28"/>
        </w:rPr>
        <w:t>: Разрабатывают</w:t>
      </w:r>
      <w:proofErr w:type="gramEnd"/>
      <w:r w:rsidRPr="007742E6">
        <w:rPr>
          <w:rFonts w:ascii="Times New Roman" w:hAnsi="Times New Roman" w:cs="Times New Roman"/>
          <w:sz w:val="28"/>
          <w:szCs w:val="28"/>
        </w:rPr>
        <w:t xml:space="preserve"> проектную документацию на обустройство месторождений и схемы разработки.</w:t>
      </w:r>
    </w:p>
    <w:p w14:paraId="593D1B73" w14:textId="43E5A030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Транспортные компании</w:t>
      </w:r>
      <w:proofErr w:type="gramStart"/>
      <w:r w:rsidRPr="007742E6">
        <w:rPr>
          <w:rFonts w:ascii="Times New Roman" w:hAnsi="Times New Roman" w:cs="Times New Roman"/>
          <w:sz w:val="28"/>
          <w:szCs w:val="28"/>
        </w:rPr>
        <w:t>: Обеспечивают</w:t>
      </w:r>
      <w:proofErr w:type="gramEnd"/>
      <w:r w:rsidRPr="007742E6">
        <w:rPr>
          <w:rFonts w:ascii="Times New Roman" w:hAnsi="Times New Roman" w:cs="Times New Roman"/>
          <w:sz w:val="28"/>
          <w:szCs w:val="28"/>
        </w:rPr>
        <w:t xml:space="preserve"> перекачку по трубопроводам (Транснефть), ж/д или танкерные перевозки углеводородов.</w:t>
      </w:r>
    </w:p>
    <w:p w14:paraId="1852EC7D" w14:textId="70F3C201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Регулирующие органы (Государство): Министерство природных ресурсов, Ростехнадзор, Росприроднадзор. Выдают лицензии, контролируют безопасность, соблюдение экологических норм и рациональное использование недр.</w:t>
      </w:r>
    </w:p>
    <w:p w14:paraId="42EE07FA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531474" w14:textId="23BCFC6D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2. Анализ текущих проблем и задач</w:t>
      </w:r>
    </w:p>
    <w:p w14:paraId="53B79D71" w14:textId="0C7FF3E9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2E6">
        <w:rPr>
          <w:rFonts w:ascii="Times New Roman" w:hAnsi="Times New Roman" w:cs="Times New Roman"/>
          <w:sz w:val="28"/>
          <w:szCs w:val="28"/>
        </w:rPr>
        <w:t>Проблемы и задачи участников:</w:t>
      </w:r>
    </w:p>
    <w:p w14:paraId="461FDC4E" w14:textId="6B09B5AE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Для Недропользователя:</w:t>
      </w:r>
    </w:p>
    <w:p w14:paraId="4F537786" w14:textId="53103244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Проблема: Высокая волатильность цен на нефть, делающая нерентабельными сложные проекты при низких ценах.</w:t>
      </w:r>
    </w:p>
    <w:p w14:paraId="501D2BB1" w14:textId="4F28FFCD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Проблема: Истощение легкодоступных запасов, необходимость ввода в разработку трудноизвлекаемых запасов (ТРИЗ), требующих дорогих технологий.</w:t>
      </w:r>
    </w:p>
    <w:p w14:paraId="0A22013E" w14:textId="245A2DD8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Задача</w:t>
      </w:r>
      <w:proofErr w:type="gramStart"/>
      <w:r w:rsidRPr="007742E6">
        <w:rPr>
          <w:rFonts w:ascii="Times New Roman" w:hAnsi="Times New Roman" w:cs="Times New Roman"/>
          <w:sz w:val="28"/>
          <w:szCs w:val="28"/>
        </w:rPr>
        <w:t>: Обеспечить</w:t>
      </w:r>
      <w:proofErr w:type="gramEnd"/>
      <w:r w:rsidRPr="007742E6">
        <w:rPr>
          <w:rFonts w:ascii="Times New Roman" w:hAnsi="Times New Roman" w:cs="Times New Roman"/>
          <w:sz w:val="28"/>
          <w:szCs w:val="28"/>
        </w:rPr>
        <w:t xml:space="preserve"> безаварийную добычу и снизить удельные операционные затраты (OPEX) на баррель.</w:t>
      </w:r>
    </w:p>
    <w:p w14:paraId="55965621" w14:textId="312FC06F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Задача</w:t>
      </w:r>
      <w:proofErr w:type="gramStart"/>
      <w:r w:rsidRPr="007742E6">
        <w:rPr>
          <w:rFonts w:ascii="Times New Roman" w:hAnsi="Times New Roman" w:cs="Times New Roman"/>
          <w:sz w:val="28"/>
          <w:szCs w:val="28"/>
        </w:rPr>
        <w:t>: Оптимизировать</w:t>
      </w:r>
      <w:proofErr w:type="gramEnd"/>
      <w:r w:rsidRPr="007742E6">
        <w:rPr>
          <w:rFonts w:ascii="Times New Roman" w:hAnsi="Times New Roman" w:cs="Times New Roman"/>
          <w:sz w:val="28"/>
          <w:szCs w:val="28"/>
        </w:rPr>
        <w:t xml:space="preserve"> систему разработки для максимизации коэффициента извлечения нефти (КИН).</w:t>
      </w:r>
    </w:p>
    <w:p w14:paraId="03730915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301CFA" w14:textId="30D50B14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lastRenderedPageBreak/>
        <w:t>Для Бурового и Сервисного Подрядчика:</w:t>
      </w:r>
    </w:p>
    <w:p w14:paraId="23D4A56C" w14:textId="20A7A4ED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Проблема: Простои оборудования из-за несвоевременной поставки материалов (обсадные трубы, химреагенты) или погодных условий.</w:t>
      </w:r>
    </w:p>
    <w:p w14:paraId="2FDAEACA" w14:textId="5E2AC320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Проблема: Высокий износ парка оборудования (буровые установки, насосы) и необходимость своевременного ТОиР (технического обслуживания и ремонта).</w:t>
      </w:r>
    </w:p>
    <w:p w14:paraId="7C6E16F4" w14:textId="4CA56C20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Задача: Соблюдение контрактных сроков строительства скважин (механическая скорость проходки, время на крепление).</w:t>
      </w:r>
    </w:p>
    <w:p w14:paraId="26738B19" w14:textId="27DC5FDA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Задача: Обеспечение промышленной безопасности при проведении работ (предотвращение выбросов и аварий).</w:t>
      </w:r>
    </w:p>
    <w:p w14:paraId="39AC0CAF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6F5DCF" w14:textId="723CA2C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Общие проблемы (системные):</w:t>
      </w:r>
    </w:p>
    <w:p w14:paraId="036E8593" w14:textId="29B79312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Big Data и неопределенность: Геологические модели всегда имеют погрешность. Реальные пластовые условия могут отличаться от проектных.</w:t>
      </w:r>
    </w:p>
    <w:p w14:paraId="420714CB" w14:textId="4C5C56D1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Логистика: Удаленность месторождений (Арктика, Сибирь) создает сложности с «северным завозом» топлива, продуктов и оборудования.</w:t>
      </w:r>
    </w:p>
    <w:p w14:paraId="24B59906" w14:textId="73470914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Информационные разрывы: Данные с датчиков скважин, геофизических партий и финансового отдела часто существуют в изолированных системах, что мешает оперативному принятию решений.</w:t>
      </w:r>
    </w:p>
    <w:p w14:paraId="7740A54C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B45F37" w14:textId="0D68E759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3. Функциональные требования (к потенциальной информационной системе)</w:t>
      </w:r>
    </w:p>
    <w:p w14:paraId="50B583AA" w14:textId="651B8365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Учитывая масштабы, речь идет не об одном приложении, а о классе систем (класс AEMS — Asset </w:t>
      </w:r>
      <w:proofErr w:type="spellStart"/>
      <w:r w:rsidRPr="007742E6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7742E6">
        <w:rPr>
          <w:rFonts w:ascii="Times New Roman" w:hAnsi="Times New Roman" w:cs="Times New Roman"/>
          <w:sz w:val="28"/>
          <w:szCs w:val="28"/>
        </w:rPr>
        <w:t xml:space="preserve"> Management System или ERP </w:t>
      </w:r>
      <w:proofErr w:type="spellStart"/>
      <w:r w:rsidRPr="007742E6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742E6">
        <w:rPr>
          <w:rFonts w:ascii="Times New Roman" w:hAnsi="Times New Roman" w:cs="Times New Roman"/>
          <w:sz w:val="28"/>
          <w:szCs w:val="28"/>
        </w:rPr>
        <w:t xml:space="preserve"> Oil &amp; Gas).</w:t>
      </w:r>
    </w:p>
    <w:p w14:paraId="5E8903EC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68558B" w14:textId="56F58554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Основные функции системы (Модули):</w:t>
      </w:r>
    </w:p>
    <w:p w14:paraId="42A6830C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FE3D21" w14:textId="6E085805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1.  Управление геолого-техническими мероприятиями (ГТМ):</w:t>
      </w:r>
    </w:p>
    <w:p w14:paraId="1C7BBF55" w14:textId="51259E2B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Ведение базы геологических данных по скважинам (каротаж, керн).</w:t>
      </w:r>
    </w:p>
    <w:p w14:paraId="5267D706" w14:textId="2B31B642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Планирование и мониторинг ГТМ (ГРП, </w:t>
      </w:r>
      <w:proofErr w:type="spellStart"/>
      <w:r w:rsidRPr="007742E6">
        <w:rPr>
          <w:rFonts w:ascii="Times New Roman" w:hAnsi="Times New Roman" w:cs="Times New Roman"/>
          <w:sz w:val="28"/>
          <w:szCs w:val="28"/>
        </w:rPr>
        <w:t>зарезка</w:t>
      </w:r>
      <w:proofErr w:type="spellEnd"/>
      <w:r w:rsidRPr="007742E6">
        <w:rPr>
          <w:rFonts w:ascii="Times New Roman" w:hAnsi="Times New Roman" w:cs="Times New Roman"/>
          <w:sz w:val="28"/>
          <w:szCs w:val="28"/>
        </w:rPr>
        <w:t xml:space="preserve"> боковых стволов).</w:t>
      </w:r>
    </w:p>
    <w:p w14:paraId="74B0F564" w14:textId="2D29C543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Моделирование текущих запасов и прогноз добычи.</w:t>
      </w:r>
    </w:p>
    <w:p w14:paraId="43C2F2F7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EFCE77" w14:textId="0674A143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2.  Управление производственными активами (ТОиР):</w:t>
      </w:r>
    </w:p>
    <w:p w14:paraId="12D071D1" w14:textId="435B46A8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Паспортизация оборудования (насосы, компрессоры, трубопроводы).</w:t>
      </w:r>
    </w:p>
    <w:p w14:paraId="61AB1672" w14:textId="1FB2612B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Формирование графиков планово-предупредительных ремонтов (ППР).</w:t>
      </w:r>
    </w:p>
    <w:p w14:paraId="7B89041A" w14:textId="194662B3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Учет наработки оборудования и ведение ремонтных листов.</w:t>
      </w:r>
    </w:p>
    <w:p w14:paraId="526F60D7" w14:textId="3C4529B8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Складской учет запчастей (МТР — материально-технические ресурсы).</w:t>
      </w:r>
    </w:p>
    <w:p w14:paraId="15E2FAA4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B61396" w14:textId="3CBF397A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3.  Мониторинг бурения и добычи (SCADA-интеграция):</w:t>
      </w:r>
    </w:p>
    <w:p w14:paraId="471A2933" w14:textId="0F0CCDDF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Сбор телеметрии в реальном времени с кустов скважин (давление, температура, дебит).</w:t>
      </w:r>
    </w:p>
    <w:p w14:paraId="51AB5CD9" w14:textId="7942A199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Визуализация технологических параметров и сигнализация отклонений (предаварийные ситуации).</w:t>
      </w:r>
    </w:p>
    <w:p w14:paraId="3615CA13" w14:textId="0C3E76A0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Учет добытой продукции (замеры на групповых замерных установках).</w:t>
      </w:r>
    </w:p>
    <w:p w14:paraId="7CF5FB30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B25ACD" w14:textId="6C71984C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4.  Управление логистикой и сбытом:</w:t>
      </w:r>
    </w:p>
    <w:p w14:paraId="6C520F69" w14:textId="5CEC8FAC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Планирование поставок материалов на промыслы.</w:t>
      </w:r>
    </w:p>
    <w:p w14:paraId="23261E0A" w14:textId="7A50A142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Учет движения нефти по системе магистральных трубопроводов (или иного вида транспорта).</w:t>
      </w:r>
    </w:p>
    <w:p w14:paraId="085B38E2" w14:textId="024750C6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Формирование балансов и актов приема-передачи нефти.</w:t>
      </w:r>
    </w:p>
    <w:p w14:paraId="2EA1E203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685181" w14:textId="194E05BB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5.  Производственная безопасность (HSE — Health, Safety, Environment):</w:t>
      </w:r>
    </w:p>
    <w:p w14:paraId="240B6F1F" w14:textId="613E9353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Учет инцидентов и микротравм.</w:t>
      </w:r>
    </w:p>
    <w:p w14:paraId="65B2C702" w14:textId="38A6C06D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Проведение инструктажей и нарядов-допусков на опасные работы.</w:t>
      </w:r>
    </w:p>
    <w:p w14:paraId="16899443" w14:textId="7030F74D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Контроль соблюдения экологических норм (факельное сжигание ПНГ, утилизация отходов бурения).</w:t>
      </w:r>
    </w:p>
    <w:p w14:paraId="37097D78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1F481A" w14:textId="34DC98C6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6.  Экономика и бюджетирование:</w:t>
      </w:r>
    </w:p>
    <w:p w14:paraId="051DC951" w14:textId="0DDDA113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Формирование бюджета капитальных вложений (CAPEX) и операционных затрат (OPEX) в разрезе месторождений.</w:t>
      </w:r>
    </w:p>
    <w:p w14:paraId="62C0E0EC" w14:textId="0A7911C6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lastRenderedPageBreak/>
        <w:t xml:space="preserve">       Калькуляция себестоимости добычи одной тонны нефтяного эквивалента.</w:t>
      </w:r>
    </w:p>
    <w:p w14:paraId="10C317F2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FC3DE1" w14:textId="6E069401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4. Нефункциональные требования</w:t>
      </w:r>
    </w:p>
    <w:p w14:paraId="13DE9F4E" w14:textId="3AE93738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1.  Надежность и отказоустойчивость (критично):</w:t>
      </w:r>
    </w:p>
    <w:p w14:paraId="5E924083" w14:textId="1FF82554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Система должна функционировать в режиме 24/7 с доступностью 99.9% (особенно модули SCADA и безопасности). Сбои могут привести к остановке производства.</w:t>
      </w:r>
    </w:p>
    <w:p w14:paraId="2BC1BEE1" w14:textId="0DBCD405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Резервирование серверов и каналов связи (включая спутниковые каналы для удаленных месторождений).</w:t>
      </w:r>
    </w:p>
    <w:p w14:paraId="42C476AF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09F337" w14:textId="1B3E2750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2.  Безопасность (Information Security):</w:t>
      </w:r>
    </w:p>
    <w:p w14:paraId="46C43E13" w14:textId="3A76E4E8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Многоуровневая аутентификация (вплоть до аппаратных ключей).</w:t>
      </w:r>
    </w:p>
    <w:p w14:paraId="718E4879" w14:textId="7E385EA3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Разграничение доступа на уровне коммерческой тайны (геология) и гостайны (для стратегических месторождений).</w:t>
      </w:r>
    </w:p>
    <w:p w14:paraId="7A7F4789" w14:textId="5393828F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Детекция вторжений в промышленные сети (ICS/SCADA).</w:t>
      </w:r>
    </w:p>
    <w:p w14:paraId="7FE83D17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7C91F8" w14:textId="1A3B0C70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3.  Производительность и работа с Big Data:</w:t>
      </w:r>
    </w:p>
    <w:p w14:paraId="44F89F40" w14:textId="6658E3DA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Способность обрабатывать терабайты геофизических данных и миллионов телеметрических записей в сутки.</w:t>
      </w:r>
    </w:p>
    <w:p w14:paraId="11023105" w14:textId="7B2A00C0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Быстрый рендеринг 3D-геологических моделей.</w:t>
      </w:r>
    </w:p>
    <w:p w14:paraId="1C1F4D55" w14:textId="156BCECC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Минимальные задержки при передаче команд на удаленные объекты (</w:t>
      </w:r>
      <w:proofErr w:type="spellStart"/>
      <w:r w:rsidRPr="007742E6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7742E6">
        <w:rPr>
          <w:rFonts w:ascii="Times New Roman" w:hAnsi="Times New Roman" w:cs="Times New Roman"/>
          <w:sz w:val="28"/>
          <w:szCs w:val="28"/>
        </w:rPr>
        <w:t>).</w:t>
      </w:r>
    </w:p>
    <w:p w14:paraId="77E6786A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A65FBC" w14:textId="23E5ACA6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4.  Масштабируемость:</w:t>
      </w:r>
    </w:p>
    <w:p w14:paraId="60EB3B01" w14:textId="205167C4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Возможность подключения новых месторождений, кустов скважин и перерабатывающих мощностей без архитектурных изменений ядра системы.</w:t>
      </w:r>
    </w:p>
    <w:p w14:paraId="3B43720D" w14:textId="06F3205E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5.  Совместимость и Интеграция:</w:t>
      </w:r>
    </w:p>
    <w:p w14:paraId="257B2AA6" w14:textId="382D6A4D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Поддержка отраслевых протоколов передачи данных (OPC UA, MODBUS) для связи с контроллерами (PLC).</w:t>
      </w:r>
    </w:p>
    <w:p w14:paraId="011FF88D" w14:textId="4153CFA2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lastRenderedPageBreak/>
        <w:t xml:space="preserve">       Наличие открытых API для интеграции со специализированным ПО: геологическим (</w:t>
      </w:r>
      <w:proofErr w:type="spellStart"/>
      <w:r w:rsidRPr="007742E6">
        <w:rPr>
          <w:rFonts w:ascii="Times New Roman" w:hAnsi="Times New Roman" w:cs="Times New Roman"/>
          <w:sz w:val="28"/>
          <w:szCs w:val="28"/>
        </w:rPr>
        <w:t>Petrel</w:t>
      </w:r>
      <w:proofErr w:type="spellEnd"/>
      <w:r w:rsidRPr="007742E6">
        <w:rPr>
          <w:rFonts w:ascii="Times New Roman" w:hAnsi="Times New Roman" w:cs="Times New Roman"/>
          <w:sz w:val="28"/>
          <w:szCs w:val="28"/>
        </w:rPr>
        <w:t>, ROXAR), инженерным (AutoCAD, E3D), бухгалтерским (1С, SAP).</w:t>
      </w:r>
    </w:p>
    <w:p w14:paraId="48FA120E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32587D" w14:textId="27040B84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5. Контекстные ограничения</w:t>
      </w:r>
    </w:p>
    <w:p w14:paraId="1B24DBDD" w14:textId="613A9ACC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2E6">
        <w:rPr>
          <w:rFonts w:ascii="Times New Roman" w:hAnsi="Times New Roman" w:cs="Times New Roman"/>
          <w:sz w:val="28"/>
          <w:szCs w:val="28"/>
        </w:rPr>
        <w:t>Внешние факторы, влияющие на деятельность:</w:t>
      </w:r>
    </w:p>
    <w:p w14:paraId="7013737E" w14:textId="2F50984A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1.  Законодательные (Регуляторные):</w:t>
      </w:r>
    </w:p>
    <w:p w14:paraId="35428A2E" w14:textId="41EF1A43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Лицензионные соглашения (условия: объемы бурения, уровень утилизации ПНГ).</w:t>
      </w:r>
    </w:p>
    <w:p w14:paraId="54BBE5A5" w14:textId="0CCF62D8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Налоговый режим (НДПИ, экспортные пошлины, налог на дополнительный доход).</w:t>
      </w:r>
    </w:p>
    <w:p w14:paraId="4765CA1A" w14:textId="0B0FBE88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Требования Ростехнадзора к эксплуатации опасных производственных объектов.</w:t>
      </w:r>
    </w:p>
    <w:p w14:paraId="27071526" w14:textId="096190BA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2.  Экономические:</w:t>
      </w:r>
    </w:p>
    <w:p w14:paraId="55C31424" w14:textId="7EF9F699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Цены на нефть (котировки Brent или Urals), формирующие бюджет отрасли.</w:t>
      </w:r>
    </w:p>
    <w:p w14:paraId="37E891E7" w14:textId="5676534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Курсы валют (большая часть оборудования импортная, что создает санкционные риски).</w:t>
      </w:r>
    </w:p>
    <w:p w14:paraId="7032292D" w14:textId="1465A2D6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Санкционная политика (ограничение доступа к технологиям и финансированию).</w:t>
      </w:r>
    </w:p>
    <w:p w14:paraId="4F629084" w14:textId="22B8B41A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3.  Технологические:</w:t>
      </w:r>
    </w:p>
    <w:p w14:paraId="134F0AD2" w14:textId="22E2113B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Импортозамещение программного обеспечения и оборудования в условиях санкций.</w:t>
      </w:r>
    </w:p>
    <w:p w14:paraId="5A5EDF39" w14:textId="55BBB85C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Необходимость внедрения технологий «цифровых двойников» месторождений.</w:t>
      </w:r>
    </w:p>
    <w:p w14:paraId="04A66BBF" w14:textId="16F93F23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4.  Природно-климатические:</w:t>
      </w:r>
    </w:p>
    <w:p w14:paraId="7F803049" w14:textId="72F7E526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Суровые условия (Крайний Север, шельф), требующие специальных материалов и техники.</w:t>
      </w:r>
    </w:p>
    <w:p w14:paraId="73C95FAC" w14:textId="2B1ECEEE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Ограниченные сроки навигации для завоза грузов (северный завоз).</w:t>
      </w:r>
    </w:p>
    <w:p w14:paraId="0F682CC5" w14:textId="57F53822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      Экологические ограничения (работа в зоне вечной мерзлоты требует особых технологий, чтобы не допустить ее таяния).</w:t>
      </w:r>
    </w:p>
    <w:p w14:paraId="0E0DA7AA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15626C" w14:textId="15422EA4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6. Методы исследования и анализа</w:t>
      </w:r>
    </w:p>
    <w:p w14:paraId="21AD8CAF" w14:textId="26047D28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Для проведения анализа предметной области были использованы следующие методы:</w:t>
      </w:r>
    </w:p>
    <w:p w14:paraId="19FACB13" w14:textId="009B4240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1.  Анализ вторичных данных (деск-</w:t>
      </w:r>
      <w:proofErr w:type="spellStart"/>
      <w:r w:rsidRPr="007742E6">
        <w:rPr>
          <w:rFonts w:ascii="Times New Roman" w:hAnsi="Times New Roman" w:cs="Times New Roman"/>
          <w:sz w:val="28"/>
          <w:szCs w:val="28"/>
        </w:rPr>
        <w:t>рисеч</w:t>
      </w:r>
      <w:proofErr w:type="spellEnd"/>
      <w:r w:rsidRPr="007742E6">
        <w:rPr>
          <w:rFonts w:ascii="Times New Roman" w:hAnsi="Times New Roman" w:cs="Times New Roman"/>
          <w:sz w:val="28"/>
          <w:szCs w:val="28"/>
        </w:rPr>
        <w:t>): Изучение отраслевых отчетов (Международное энергетическое агентство — IEA, Министерство энергетики РФ), аналитических обзоров Big 4 (Deloitte, EY) и профильных изданий (</w:t>
      </w:r>
      <w:proofErr w:type="spellStart"/>
      <w:r w:rsidRPr="007742E6">
        <w:rPr>
          <w:rFonts w:ascii="Times New Roman" w:hAnsi="Times New Roman" w:cs="Times New Roman"/>
          <w:sz w:val="28"/>
          <w:szCs w:val="28"/>
        </w:rPr>
        <w:t>Oil&amp;Gas</w:t>
      </w:r>
      <w:proofErr w:type="spellEnd"/>
      <w:r w:rsidRPr="007742E6">
        <w:rPr>
          <w:rFonts w:ascii="Times New Roman" w:hAnsi="Times New Roman" w:cs="Times New Roman"/>
          <w:sz w:val="28"/>
          <w:szCs w:val="28"/>
        </w:rPr>
        <w:t xml:space="preserve"> Journal, Нефтегазовая вертикаль).</w:t>
      </w:r>
    </w:p>
    <w:p w14:paraId="454D65E7" w14:textId="6694198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2.  Интервью с экспертами: Проведены консультации с ведущими инженерами по разработке месторождений и специалистами по автоматизации производственных процессов.</w:t>
      </w:r>
    </w:p>
    <w:p w14:paraId="454B2C21" w14:textId="5ED2E2BA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3.  Анализ нормативной документации: Изучение федеральных законов (Закон «О недрах»), правил безопасности в нефтяной и газовой промышленности (ПБ НГП), регламентов ПАО «Газпром» и ПАО «НК «Роснефть» (где доступно в открытых источниках).</w:t>
      </w:r>
    </w:p>
    <w:p w14:paraId="6FE8C653" w14:textId="25509F0D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4.  Анализ конкурентного ПО: Изучение функционала решений SAP Oil &amp; Gas, Oracle Utilities, отечественных платформ (например, «Цифровое месторождение» от Т1 Интеграция) и продуктов для гидродинамического моделирования (</w:t>
      </w:r>
      <w:proofErr w:type="spellStart"/>
      <w:r w:rsidRPr="007742E6">
        <w:rPr>
          <w:rFonts w:ascii="Times New Roman" w:hAnsi="Times New Roman" w:cs="Times New Roman"/>
          <w:sz w:val="28"/>
          <w:szCs w:val="28"/>
        </w:rPr>
        <w:t>tNavigator</w:t>
      </w:r>
      <w:proofErr w:type="spellEnd"/>
      <w:r w:rsidRPr="007742E6">
        <w:rPr>
          <w:rFonts w:ascii="Times New Roman" w:hAnsi="Times New Roman" w:cs="Times New Roman"/>
          <w:sz w:val="28"/>
          <w:szCs w:val="28"/>
        </w:rPr>
        <w:t>).</w:t>
      </w:r>
    </w:p>
    <w:p w14:paraId="500D6446" w14:textId="3FF175E0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5.  Посещение отраслевых выставок: Анализ актуальных трендов на мероприятиях (например, MIOGE, Нефтегаз).</w:t>
      </w:r>
    </w:p>
    <w:p w14:paraId="4241BF2D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B17798" w14:textId="6A89732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7. Результаты анализа</w:t>
      </w:r>
    </w:p>
    <w:p w14:paraId="6F460138" w14:textId="72E917E6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Ключевые выводы:</w:t>
      </w:r>
    </w:p>
    <w:p w14:paraId="6BA9BD0C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1.  Предметная область «Нефтегазовая промышленность» представляет собой сложную иерархическую систему с длинным инвестиционным циклом и высокой степенью неопределенности на этапе разведки.</w:t>
      </w:r>
    </w:p>
    <w:p w14:paraId="69C6715D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2.  Ключевые проблемы — это не столько творческие, сколько инженерно-логистические задачи, требующие высокой точности координации и соблюдения техники безопасности.</w:t>
      </w:r>
    </w:p>
    <w:p w14:paraId="7CF7EE4C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3.  Существует острый запрос на импортозамещение ПО и создание единых цифровых платформ, объединяющих геологическое моделирование, управление активами и производственную безопасность (сквозные процессы).</w:t>
      </w:r>
    </w:p>
    <w:p w14:paraId="4E7DE0EE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lastRenderedPageBreak/>
        <w:t>4.  Наиболее перспективным направлением цифровизации является прогнозная аналитика (</w:t>
      </w:r>
      <w:proofErr w:type="spellStart"/>
      <w:r w:rsidRPr="007742E6">
        <w:rPr>
          <w:rFonts w:ascii="Times New Roman" w:hAnsi="Times New Roman" w:cs="Times New Roman"/>
          <w:sz w:val="28"/>
          <w:szCs w:val="28"/>
        </w:rPr>
        <w:t>Predictive</w:t>
      </w:r>
      <w:proofErr w:type="spellEnd"/>
      <w:r w:rsidRPr="007742E6">
        <w:rPr>
          <w:rFonts w:ascii="Times New Roman" w:hAnsi="Times New Roman" w:cs="Times New Roman"/>
          <w:sz w:val="28"/>
          <w:szCs w:val="28"/>
        </w:rPr>
        <w:t xml:space="preserve"> Analytics) для предотвращения отказов оборудования и оптимизации режимов добычи.</w:t>
      </w:r>
    </w:p>
    <w:p w14:paraId="4E2AE619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1B93B6" w14:textId="361385E5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2E6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75FE5DF8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1.  При разработке отраслевых ИС необходимо закладывать модуль «Предиктивная аналитика» и машинное обучение для анализа трендов работы насосного оборудования и прогнозирования «прорывов» воды.</w:t>
      </w:r>
    </w:p>
    <w:p w14:paraId="3A67DD6B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2.  Приоритет в развитии систем следует отдавать интеграционным шинам данных (ESB), так как основная проблема отрасли — разрозненность разрозненных информационных «озер» (геология, добыча, финансы).</w:t>
      </w:r>
    </w:p>
    <w:p w14:paraId="3DA6221F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3.  Учитывая важность HSE, интерфейсы системы должны позволять руководителю бурения или начальнику промысла видеть риск-индикаторы на едином </w:t>
      </w:r>
      <w:proofErr w:type="spellStart"/>
      <w:r w:rsidRPr="007742E6"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  <w:r w:rsidRPr="007742E6">
        <w:rPr>
          <w:rFonts w:ascii="Times New Roman" w:hAnsi="Times New Roman" w:cs="Times New Roman"/>
          <w:sz w:val="28"/>
          <w:szCs w:val="28"/>
        </w:rPr>
        <w:t>, не отвлекаясь на второстепенные параметры.</w:t>
      </w:r>
    </w:p>
    <w:p w14:paraId="2977C758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274AC4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Проведенный анализ формирует прочную основу для последующего проектирования архитектуры программного комплекса класса «Управление интегрированным оператором» для нефтегазодобывающего предприятия.</w:t>
      </w:r>
    </w:p>
    <w:p w14:paraId="30DEA079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38772E" w14:textId="6AF23FE0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42E6">
        <w:rPr>
          <w:rFonts w:ascii="Times New Roman" w:hAnsi="Times New Roman" w:cs="Times New Roman"/>
          <w:sz w:val="28"/>
          <w:szCs w:val="28"/>
        </w:rPr>
        <w:t xml:space="preserve"> Список использованных источников</w:t>
      </w:r>
    </w:p>
    <w:p w14:paraId="7640EBC3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1.  Закон РФ от 21.02.1992 N 2395-1 «О недрах» (последняя редакция).</w:t>
      </w:r>
    </w:p>
    <w:p w14:paraId="33A17FB1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2.  Эрих В. Н., Распопов А. В., Смирнов В. А. «Разработка и эксплуатация нефтяных и газовых месторождений». – М.: Инфра-Инженерия, 2021. – 480 с.</w:t>
      </w:r>
    </w:p>
    <w:p w14:paraId="55AC79D9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3.  Международное энергетическое агентство (МЭА/IEA). «World Energy Outlook 2023–2024». [Электронный ресурс]. – URL: https://www.iea.org</w:t>
      </w:r>
    </w:p>
    <w:p w14:paraId="54CB5DC9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4.  Отчет Министерства энергетики РФ. «Итоги работы топливно-энергетического комплекса России за 2023 год».</w:t>
      </w:r>
    </w:p>
    <w:p w14:paraId="18D9CDB3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5.  Журнал «Нефтегазовая вертикаль». Спецвыпуск «Цифровизация добычи». – №12, 2024.</w:t>
      </w:r>
    </w:p>
    <w:p w14:paraId="76B51228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6.  Технический регламент ЕАЭС "О безопасности оборудования для работы во взрывоопасных средах" (ТР ЕАЭС 012/2011).</w:t>
      </w:r>
    </w:p>
    <w:p w14:paraId="1B868956" w14:textId="77777777" w:rsidR="007742E6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lastRenderedPageBreak/>
        <w:t>7.  Обзор рынка: «Цифровые решения для нефтегазовой отрасли России 2024». – CNews Analytics.</w:t>
      </w:r>
    </w:p>
    <w:p w14:paraId="2829A8D5" w14:textId="134F6503" w:rsidR="007F2FBD" w:rsidRPr="007742E6" w:rsidRDefault="007742E6" w:rsidP="007742E6">
      <w:pPr>
        <w:jc w:val="both"/>
        <w:rPr>
          <w:rFonts w:ascii="Times New Roman" w:hAnsi="Times New Roman" w:cs="Times New Roman"/>
          <w:sz w:val="28"/>
          <w:szCs w:val="28"/>
        </w:rPr>
      </w:pPr>
      <w:r w:rsidRPr="007742E6">
        <w:rPr>
          <w:rFonts w:ascii="Times New Roman" w:hAnsi="Times New Roman" w:cs="Times New Roman"/>
          <w:sz w:val="28"/>
          <w:szCs w:val="28"/>
        </w:rPr>
        <w:t>8.  ГОСТ Р 54911-2012 «Нефтяная и газовая промышленность. Системы управления промышленной безопасностью».</w:t>
      </w:r>
    </w:p>
    <w:sectPr w:rsidR="007F2FBD" w:rsidRPr="007742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E0"/>
    <w:rsid w:val="000C66E2"/>
    <w:rsid w:val="003D3EE0"/>
    <w:rsid w:val="00641B3C"/>
    <w:rsid w:val="007742E6"/>
    <w:rsid w:val="007F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9FD96"/>
  <w15:chartTrackingRefBased/>
  <w15:docId w15:val="{954A9FEF-0990-441C-8CE6-20236025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3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3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3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3E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3E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3E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3E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3E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3E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3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3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3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3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3E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3E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3E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3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3E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3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1846</Words>
  <Characters>10524</Characters>
  <Application>Microsoft Office Word</Application>
  <DocSecurity>0</DocSecurity>
  <Lines>87</Lines>
  <Paragraphs>24</Paragraphs>
  <ScaleCrop>false</ScaleCrop>
  <Company/>
  <LinksUpToDate>false</LinksUpToDate>
  <CharactersWithSpaces>12346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2</cp:revision>
  <dcterms:created xsi:type="dcterms:W3CDTF">2026-02-13T14:37:00Z</dcterms:created>
  <dcterms:modified xsi:type="dcterms:W3CDTF">2026-02-13T14:39:00Z</dcterms:modified>
</cp:coreProperties>
</file>