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A0A0A"/>
        </w:rPr>
        <w:t>OttO — Post-Presentation Feedback &amp; Next Steps</w:t>
      </w:r>
    </w:p>
    <w:p>
      <w:r>
        <w:rPr>
          <w:color w:val="888888"/>
          <w:sz w:val="20"/>
        </w:rPr>
        <w:t>Internal Document · March 2026</w:t>
      </w:r>
    </w:p>
    <w:p>
      <w:r>
        <w:t>This document summarises the feedback received after the OttO presentation and outlines the prioritised next steps for the project.</w:t>
      </w:r>
    </w:p>
    <w:p>
      <w:pPr>
        <w:pStyle w:val="Heading2"/>
      </w:pPr>
      <w:r>
        <w:t>01 · Architecture — RAG System with pgvector</w:t>
      </w:r>
    </w:p>
    <w:p>
      <w:r>
        <w:t>The panel recommended adding a Retrieval-Augmented Generation layer so OttO can answer questions from unstructured sources — owner manuals, technical bulletins, warranty PDFs — without hallucinating. The implementation would use pgvector (already in our PostgreSQL stack) to store and query document embeddings at retrieval time.</w:t>
      </w:r>
    </w:p>
    <w:p>
      <w:pPr>
        <w:pStyle w:val="Heading2"/>
      </w:pPr>
      <w:r>
        <w:t>02 · Documentation — Technical Justifications</w:t>
      </w:r>
    </w:p>
    <w:p>
      <w:r>
        <w:t>Each architectural decision should be backed by explicit reasoning: why the OpenAI Realtime API over a traditional STT → LLM → TTS pipeline, why PostgreSQL over a vector-native database, why server-side tool execution over client-side. These justifications strengthen the academic rigour of the project.</w:t>
      </w:r>
    </w:p>
    <w:p>
      <w:pPr>
        <w:pStyle w:val="Heading2"/>
      </w:pPr>
      <w:r>
        <w:t>03 · Evaluation — LLM-as-a-Judge Evaluation Loop</w:t>
      </w:r>
    </w:p>
    <w:p>
      <w:r>
        <w:t>Rather than subjective manual testing, implement an automated evaluation framework: define scoring criteria (tone, accuracy, tool selection, response length), run synthetic conversations, and have a second LLM judge each response against the rubric. This produces reproducible, quantifiable quality metrics.</w:t>
      </w:r>
    </w:p>
    <w:p>
      <w:pPr>
        <w:pStyle w:val="Heading2"/>
      </w:pPr>
      <w:r>
        <w:t>04 · Agent Behaviour — Engaging Car Presentations</w:t>
      </w:r>
    </w:p>
    <w:p>
      <w:r>
        <w:t>When OttO introduces a vehicle, it should open with an evocative sentence that creates desire before listing specs. Example: "The IONIQ 6 is the one that makes you look twice in a car park — and then makes every motorway drive feel effortless." Specs follow naturally, grounded in that first impression.</w:t>
      </w:r>
    </w:p>
    <w:p>
      <w:pPr>
        <w:pStyle w:val="Heading2"/>
      </w:pPr>
      <w:r>
        <w:t>05 · Value Proposition — Two-Sided Value Articulation</w:t>
      </w:r>
    </w:p>
    <w:p>
      <w:r>
        <w:t>OttO creates value on both sides of the dealership interaction. For the customer: zero wait time, consistent expertise, 24/7 availability. For the dealership: every conversation generates a structured advisor briefing with negotiation intelligence — turning each call into a sales asset, not just a scheduling task. This dual angle should be front and centre in all future presentations.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