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Seções 3.4 e 3.5 — proposta de reescrita</w:t>
      </w:r>
    </w:p>
    <w:p>
      <w:r>
        <w:rPr>
          <w:i/>
          <w:color w:val="B00000"/>
          <w:sz w:val="20"/>
        </w:rPr>
        <w:t>Documento de trabalho. Os números vêm da configuração escolhida como canônica: código C++ original dos autores, hiperparâmetros default exceto imbalance_penalty = 0, predição out-of-bag sobre as 64.000 observações. A numeração das tabelas precisa ser ajustada ao restante do texto.</w:t>
      </w:r>
    </w:p>
    <w:p>
      <w:pPr>
        <w:pStyle w:val="Heading2"/>
      </w:pPr>
      <w:r>
        <w:t>3.4 Estimação dos efeitos heterogêneos de tratamento com UDCF</w:t>
      </w:r>
    </w:p>
    <w:p>
      <w:pPr>
        <w:pStyle w:val="Heading3"/>
      </w:pPr>
      <w:r>
        <w:t>3.4.1 Aplicação com os hiperparâmetros originais</w:t>
      </w:r>
    </w:p>
    <w:p>
      <w:pPr>
        <w:jc w:val="both"/>
      </w:pPr>
      <w:r>
        <w:rPr>
          <w:i w:val="0"/>
        </w:rPr>
        <w:t>A primeira aplicação do UDCF utilizou os hiperparâmetros definidos pelos autores na função ForestTestUtilities::default_options, sem qualquer alteração: 300 árvores, fração de amostragem de 0,5, mtry igual a 3, tamanho mínimo de nó igual a 50, honestidade ativada com fração de 0,5, alpha de 0,05, imbalance_penalty de 0,01 e semente aleatória 42. A predição foi feita por out-of-bag sobre as 64.000 observações, de modo que cada cliente é predito apenas pelas árvores que não o utilizaram no treinamento.</w:t>
      </w:r>
    </w:p>
    <w:p>
      <w:pPr>
        <w:jc w:val="both"/>
      </w:pPr>
      <w:r>
        <w:rPr>
          <w:i w:val="0"/>
        </w:rPr>
        <w:t>O resultado foi degenerado. As 300 árvores terminaram como nós-raiz sem nenhuma divisão. A contagem de divisões por variável, obtida pela classe SplitFrequencyComputer do próprio código dos autores, retornou zero para todas as onze covariáveis. A estimativa de CATE é, portanto, constante: a variação residual observada entre indivíduos — desvio-padrão de 0,000091 sobre média de 0,006716, ou 1,35% da média — decorre exclusivamente de qual subconjunto de árvores cada observação ficou de fora, e não de qualquer heterogeneidade modelada.</w:t>
      </w:r>
    </w:p>
    <w:p>
      <w:pPr>
        <w:jc w:val="both"/>
      </w:pPr>
      <w:r>
        <w:rPr>
          <w:i w:val="0"/>
        </w:rPr>
        <w:t>Duas verificações independentes confirmam a degeneração, sem depender da contagem de divisões. Primeiro, o CATE médio estimado (0,006716) coincide com a diferença simples de médias entre Mens E-Mail e controle (0,006805). Segundo, o CATE médio por subgrupo é idêntico até a sexta casa decimal em todas as covariáveis categóricas — 0,006715 para região rural e 0,006716 para suburbana e urbana, com padrão análogo para canal de compra e para a condição de cliente novo. Se qualquer divisão tivesse sido realizada sobre essas variáveis, os subgrupos necessariamente difeririam.</w:t>
      </w:r>
    </w:p>
    <w:p>
      <w:pPr>
        <w:jc w:val="both"/>
      </w:pPr>
      <w:r>
        <w:rPr>
          <w:i w:val="0"/>
        </w:rPr>
        <w:t>Registra-se ainda que, sob esta configuração, a codificação das covariáveis categóricas é irrelevante. As estimativas obtidas com codificação ordinal e com codificação one-hot são idênticas para as 64.000 observações, com diferença absoluta máxima igual a zero. Esse é um resultado esperado na ausência de divisões: se nenhuma covariável é utilizada para particionar a amostra, a forma de codificá-la não pode influenciar a estimativa.</w:t>
      </w:r>
    </w:p>
    <w:p>
      <w:pPr>
        <w:pStyle w:val="Heading3"/>
      </w:pPr>
      <w:r>
        <w:t>3.4.2 Diagnóstico do critério de divisão</w:t>
      </w:r>
    </w:p>
    <w:p>
      <w:pPr>
        <w:jc w:val="both"/>
      </w:pPr>
      <w:r>
        <w:rPr>
          <w:i w:val="0"/>
        </w:rPr>
        <w:t>A investigação do código-fonte identificou a origem da degeneração. Em UDCFSplittingRule.cpp, um candidato a divisão é aceito quando a quantidade denominada decrease é positiva. Como nenhuma coluna de pesos é definida, a função Data::get_weight retorna 1 para todas as observações; e como os pseudo-desfechos provêm da condição de primeira ordem de um ajuste de mínimos quadrados dentro do nó, sua soma sobre o nó é identicamente nula. Sob essas duas condições, a expressão do critério fatora e a condição de aceitação reduz-se exatamente a:</w:t>
      </w:r>
    </w:p>
    <w:p>
      <w:pPr>
        <w:jc w:val="both"/>
      </w:pPr>
      <w:r>
        <w:rPr>
          <w:i/>
        </w:rPr>
        <w:t>‖s_esq‖² &gt; imbalance_penalty</w:t>
      </w:r>
    </w:p>
    <w:p>
      <w:pPr>
        <w:jc w:val="both"/>
      </w:pPr>
      <w:r>
        <w:rPr>
          <w:i w:val="0"/>
        </w:rPr>
        <w:t>em que s_esq é a soma dos pseudo-desfechos no filho esquerdo. O limiar é, portanto, uma constante absoluta, enquanto o ganho do lado esquerdo escala com a variância do desfecho. O critério não é invariante à escala da variável de resposta.</w:t>
      </w:r>
    </w:p>
    <w:p>
      <w:pPr>
        <w:jc w:val="both"/>
      </w:pPr>
      <w:r>
        <w:rPr>
          <w:i w:val="0"/>
        </w:rPr>
        <w:t>A Tabela 10 compara a magnitude dessa quantidade entre a base utilizada pelos autores, distribuída no repositório do artigo, e a base Hillstrom.</w:t>
      </w:r>
    </w:p>
    <w:p>
      <w:r>
        <w:rPr>
          <w:sz w:val="20"/>
        </w:rPr>
        <w:t>Tabela 10: Comparação da quantidade que determina a aceitação de uma divisão, entre a base dos autores e a base Hillstrom.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Base dos autores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Hillstrom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Observações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2.000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64.000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Braços de tratamento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Natureza do desfecho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contínuo (monetário)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binário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Média do desfecho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5.180,92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Desvio-padrão do desfecho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7.128,35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0,0946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Máximo de ‖s_esq‖²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3,80 × 10⁶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1,93 × 10⁻⁶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Limiar (imbalance_penalty)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Existe divisão possível?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Não</w:t>
            </w:r>
          </w:p>
        </w:tc>
      </w:tr>
    </w:tbl>
    <w:p/>
    <w:p>
      <w:pPr>
        <w:jc w:val="both"/>
      </w:pPr>
      <w:r>
        <w:rPr>
          <w:i w:val="0"/>
        </w:rPr>
        <w:t>A diferença entre as duas bases é de aproximadamente doze ordens de grandeza na mesma quantidade. O limiar de 0,01, irrelevante para um desfecho monetário com desvio-padrão da ordem de milhares, torna-se intransponível para um desfecho binário cuja taxa de ocorrência no grupo controle é de 0,57%.</w:t>
      </w:r>
    </w:p>
    <w:p>
      <w:pPr>
        <w:jc w:val="both"/>
      </w:pPr>
      <w:r>
        <w:rPr>
          <w:i w:val="0"/>
        </w:rPr>
        <w:t>Cabe uma precisão quanto à atribuição. O teste de positividade do ganho não é uma modificação introduzida pelos autores do UDCF: trata-se do comportamento original do GRF (ATHEY; TIBSHIRANI; WAGER, 2019), como se verifica em InstrumentalSplittingRule.cpp, que inicializa a melhor redução em zero e encerra o nó quando nenhum candidato a supera. O que torna o critério restritivo neste caso é a combinação desse teste com um valor não nulo de imbalance_penalty nos hiperparâmetros default, aplicada a um desfecho de escala muito inferior àquela para a qual foram calibrados.</w:t>
      </w:r>
    </w:p>
    <w:p>
      <w:pPr>
        <w:jc w:val="both"/>
      </w:pPr>
      <w:r>
        <w:rPr>
          <w:i w:val="0"/>
        </w:rPr>
        <w:t>Uma segunda restrição, de natureza distinta, foi identificada ao aplicar o código à própria base de exemplo dos autores. O parâmetro min_node_size não limita o número de observações do nó: ele exige, para cada braço de tratamento separadamente e de ambos os lados da divisão, um mínimo de observações. O nó pai precisa, portanto, de pelo menos duas vezes min_node_size observações por braço. Com 2.000 observações, sete braços, fração de amostragem de 0,5 e fração de honestidade de 0,5, cada árvore cresce com aproximadamente 500 observações, cerca de 60 por braço, contra as 100 exigidas pelo default de 50. Nenhuma divisão é geometricamente possível, e a amostra distribuída pelos autores não treina com os hiperparâmetros default dos próprios autores.</w:t>
      </w:r>
    </w:p>
    <w:p>
      <w:pPr>
        <w:jc w:val="both"/>
      </w:pPr>
      <w:r>
        <w:rPr>
          <w:i w:val="0"/>
        </w:rPr>
        <w:t>As duas restrições atuam de forma independente e não devem ser confundidas, conforme a Tabela 11.</w:t>
      </w:r>
    </w:p>
    <w:p>
      <w:r>
        <w:rPr>
          <w:sz w:val="20"/>
        </w:rPr>
        <w:t>Tabela 11: Separação entre a restrição geométrica e a restrição de ganho, avaliadas no nó raiz de uma árvore após amostragem e honestidade.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Base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min_node_size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Cortes viáveis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Ganho máximo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Supera o limiar?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Autores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avaliado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restrição geométrica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Autores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8,42 × 10⁶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Hillstrom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11.332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4,53 × 10⁻⁶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Hillstrom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11.332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4,53 × 10⁻⁶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</w:t>
            </w:r>
          </w:p>
        </w:tc>
      </w:tr>
    </w:tbl>
    <w:p/>
    <w:p>
      <w:pPr>
        <w:jc w:val="both"/>
      </w:pPr>
      <w:r>
        <w:rPr>
          <w:i w:val="0"/>
        </w:rPr>
        <w:t>Na base Hillstrom, portanto, min_node_size não é a restrição ativa: existem mais de onze mil pontos de corte geometricamente admissíveis no nó raiz, todos reprovados pelo limiar de ganho. A validade do procedimento de compilação e execução foi verificada ao reproduzir divisões na base dos autores com min_node_size compatível com o tamanho da amostra, o que produziu 1.398 divisões em 300 árvores.</w:t>
      </w:r>
    </w:p>
    <w:p>
      <w:pPr>
        <w:pStyle w:val="Heading3"/>
      </w:pPr>
      <w:r>
        <w:t>3.4.3 Estimativas com o hiperparâmetro recalibrado</w:t>
      </w:r>
    </w:p>
    <w:p>
      <w:pPr>
        <w:jc w:val="both"/>
      </w:pPr>
      <w:r>
        <w:rPr>
          <w:i w:val="0"/>
        </w:rPr>
        <w:t>Diante do diagnóstico, o modelo foi reestimado alterando exclusivamente imbalance_penalty, de 0,01 para zero. Todos os demais hiperparâmetros permanecem nos valores definidos pelos autores, e nenhum arquivo do algoritmo foi modificado: o parâmetro é exposto pela própria interface de ForestOptions. Sob essa configuração a floresta produziu 11.407 divisões, sem nenhuma árvore degenerada, concentradas em gasto histórico (30,0%), recência (20,0%) e condição de cliente novo (8,1%).</w:t>
      </w:r>
    </w:p>
    <w:p>
      <w:pPr>
        <w:jc w:val="both"/>
      </w:pPr>
      <w:r>
        <w:rPr>
          <w:i w:val="0"/>
        </w:rPr>
        <w:t>A Tabela 12 apresenta as estimativas individuais para os primeiros clientes da base. Para cada indivíduo o modelo produz duas estimativas, uma por campanha em relação ao grupo controle, o que permite avaliar a magnitude do efeito esperado e identificar qual campanha apresenta maior efeito estimado para aquele perfil.</w:t>
      </w:r>
    </w:p>
    <w:p>
      <w:r>
        <w:rPr>
          <w:sz w:val="20"/>
        </w:rPr>
        <w:t>Tabela 12: Estimativas dos efeitos heterogêneos de tratamento (CATE) obtidas pelo UDCF para a base Hillstrom, com imbalance_penalty igual a zero.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Indivíduo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CATE Mens E-Mail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CATE Womens E-Mail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0,004015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-0,000412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0,003860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0,000386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0,006619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0,004639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0,005286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0,004695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0,008484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0,002174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0,006094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0,001513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0,007767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0,000160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0,003056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0,005237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0,005669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0,002890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0,003965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0,004087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63.999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…</w:t>
            </w:r>
          </w:p>
        </w:tc>
      </w:tr>
    </w:tbl>
    <w:p/>
    <w:p>
      <w:r>
        <w:rPr>
          <w:sz w:val="20"/>
        </w:rPr>
        <w:t>Tabela 13: Estatísticas descritivas das estimativas de CATE.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Estatística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Mens E-Mail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Womens E-Mail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0,006717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0,003036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Desvio-padrão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0,002734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0,002856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Mínimo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-0,001278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-0,006736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1º quartil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0,004882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0,000982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Mediana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0,006333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0,002822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3º quartil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0,008256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0,005052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Máximo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0,019116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0,014793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Estimativas negativas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77 (0,1%)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9.003 (14,1%)</w:t>
            </w:r>
          </w:p>
        </w:tc>
      </w:tr>
    </w:tbl>
    <w:p/>
    <w:p>
      <w:pPr>
        <w:jc w:val="both"/>
      </w:pPr>
      <w:r>
        <w:rPr>
          <w:i w:val="0"/>
        </w:rPr>
        <w:t>As médias permanecem praticamente inalteradas em relação à configuração anterior — 0,006717 contra 0,006716 para Mens E-Mail —, o que indica que o efeito médio é preservado e que a alteração do hiperparâmetro afeta apenas a dispersão das estimativas, que se torna trinta vezes maior. Para 85,3% dos clientes a campanha masculina apresenta efeito estimado superior à feminina.</w:t>
      </w:r>
    </w:p>
    <w:p>
      <w:r>
        <w:rPr>
          <w:i/>
          <w:color w:val="B00000"/>
          <w:sz w:val="20"/>
        </w:rPr>
        <w:t>Atenção: a afirmação de que estas estimativas representam heterogeneidade real NÃO pode ser feita aqui. A seção 3.5 testa isso e o resultado é negativo. Redigir 3.4.3 sem a ressalva da 3.5 seria apresentar como achado algo que os testes não sustentam.</w:t>
      </w:r>
    </w:p>
    <w:p>
      <w:pPr>
        <w:pStyle w:val="Heading2"/>
      </w:pPr>
      <w:r>
        <w:t>3.5 Avaliação dos modelos</w:t>
      </w:r>
    </w:p>
    <w:p>
      <w:pPr>
        <w:jc w:val="both"/>
      </w:pPr>
      <w:r>
        <w:rPr>
          <w:i w:val="0"/>
        </w:rPr>
        <w:t>A avaliação foi conduzida sob a perspectiva de ranqueamento causal, uma vez que o objetivo prático dos modelos de uplift consiste em identificar os indivíduos mais suscetíveis às intervenções de marketing. Diferentemente de problemas de predição, o efeito causal individual não é observável — cada cliente é observado em apenas um braço do experimento —, de modo que não existe erro de previsão a ser calculado. A avaliação recorre, por isso, a testes que confrontam as estimativas com desfechos brutos observados.</w:t>
      </w:r>
    </w:p>
    <w:p>
      <w:pPr>
        <w:jc w:val="both"/>
      </w:pPr>
      <w:r>
        <w:rPr>
          <w:i w:val="0"/>
        </w:rPr>
        <w:t>Foram empregados três procedimentos. O primeiro é o teste do melhor preditor linear, no qual o desfecho é regredido sobre o indicador de tratamento e sobre a interação entre o tratamento centrado e a estimativa de CATE centrada; o coeficiente dessa interação assume valor unitário quando a heterogeneidade estimada é perfeitamente calibrada e valor nulo quando as estimativas não carregam informação. O segundo ordena os clientes pela estimativa de CATE, divide-os em quintis e calcula, em cada quintil, a diferença bruta de taxas de conversão entre tratados e controles. O terceiro é um teste placebo, no qual a atribuição de tratamento é permutada aleatoriamente trezentas vezes, gerando a distribuição nula do primeiro teste.</w:t>
      </w:r>
    </w:p>
    <w:p>
      <w:r>
        <w:rPr>
          <w:sz w:val="20"/>
        </w:rPr>
        <w:t>Tabela 14: Avaliação das estimativas de CATE.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Configuração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Coef. BLP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Q5 − Q1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Placebo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Mens E-Mail, imbalance_penalty = 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0,015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0,967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0,002628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0,382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dentro do nulo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Womens E-Mail, imbalance_penalty = 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0,401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0,196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0,004058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0,118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dentro do nulo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Mens E-Mail, configuração original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-94,299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&lt; 0,001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-0,024287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&lt; 0,001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fora do nulo</w:t>
            </w:r>
          </w:p>
        </w:tc>
      </w:tr>
    </w:tbl>
    <w:p/>
    <w:p>
      <w:pPr>
        <w:jc w:val="both"/>
      </w:pPr>
      <w:r>
        <w:rPr>
          <w:i w:val="0"/>
        </w:rPr>
        <w:t>Para a campanha masculina sob a configuração recalibrada, o coeficiente do melhor preditor linear é estatisticamente indistinguível de zero e a diferença entre o quintil superior e o inferior não é significativa. Para a campanha feminina o coeficiente é positivo e a progressão entre quintis é aproximadamente monotônica, mas tampouco alcança significância estatística. Conclui-se que, ainda que o modelo produza estimativas dispersas e corretamente calibradas em média, a ordenação que delas resulta não distingue os clientes de forma superior ao acaso nesta base.</w:t>
      </w:r>
    </w:p>
    <w:p>
      <w:pPr>
        <w:jc w:val="both"/>
      </w:pPr>
      <w:r>
        <w:rPr>
          <w:i w:val="0"/>
        </w:rPr>
        <w:t>Esse resultado é coerente com o poder estatístico disponível. Com taxa de conversão de 0,57% no grupo controle, a menor diferença detectável entre dois subgrupos é da ordem de 0,0029, magnitude comparável ao próprio efeito médio de 0,0068. Um teste conjunto das interações entre tratamento e as onze covariáveis, conduzido diretamente sobre os dados brutos, também não rejeita a hipótese de efeito constante. A leitura adequada é, portanto, de ausência de heterogeneidade detectável, e não de ausência de heterogeneidade.</w:t>
      </w:r>
    </w:p>
    <w:p>
      <w:pPr>
        <w:jc w:val="both"/>
      </w:pPr>
      <w:r>
        <w:rPr>
          <w:i w:val="0"/>
        </w:rPr>
        <w:t>A terceira linha da Tabela 14 merece registro metodológico. A configuração original, cuja floresta não realiza nenhuma divisão e que por construção não pode ter aprendido estrutura alguma, produz um coeficiente fortemente negativo e altamente significativo. Trata-se de artefato do procedimento de predição out-of-bag: a estimativa de cada indivíduo é a média sobre as árvores que o excluíram da amostra, de modo que um cliente tratado que converteu — e que portanto eleva o efeito global — recebe estimativa sistematicamente menor, ao passo que um cliente de controle que converteu recebe estimativa maior. A verificação empírica confirma o padrão previsto, com sinais opostos nos dois contrastes e significância elevada em ambos, conforme a Tabela 15.</w:t>
      </w:r>
    </w:p>
    <w:p>
      <w:r>
        <w:rPr>
          <w:sz w:val="20"/>
        </w:rPr>
        <w:t>Tabela 15: Estimativa média sob a configuração original, por braço e desfecho observado.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Grupo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CATE médio estimado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Tratado, converteu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267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0,00667498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Tratado, não converteu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21.040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0,00671691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Controle, converteu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0,00676101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Controle, não converteu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21.184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0,00671525</w:t>
            </w:r>
          </w:p>
        </w:tc>
      </w:tr>
    </w:tbl>
    <w:p/>
    <w:p>
      <w:pPr>
        <w:jc w:val="both"/>
      </w:pPr>
      <w:r>
        <w:rPr>
          <w:i w:val="0"/>
        </w:rPr>
        <w:t>O contraste entre clientes tratados que converteram e que não converteram é de -0,0000419 (p &lt; 10⁻¹²), enquanto entre clientes de controle o contraste é de +0,0000458 (p &lt; 10⁻⁸). A inversão de sinal é a assinatura esperada do mecanismo descrito. Registra-se, assim, que o teste de calibração pode produzir resultado altamente significativo quando aplicado a um modelo degenerado, o que recomenda que sua interpretação seja sempre acompanhada da verificação de que o modelo efetivamente realizou divisões.</w:t>
      </w:r>
    </w:p>
    <w:p>
      <w:r>
        <w:rPr>
          <w:i/>
          <w:color w:val="B00000"/>
          <w:sz w:val="20"/>
        </w:rPr>
        <w:t>Pendências no texto original: o bloco que descreve divisão 80/20 e conjunto de teste com 12.800 observações precisa ser reescrito para refletir a predição out-of-bag sobre as 64.000 observações; e há um marcador [VALOR] não preenchido para a semente aleatória, que é 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