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0"/>
          <w:szCs w:val="20"/>
        </w:rPr>
      </w:pPr>
      <w:r w:rsidDel="00000000" w:rsidR="00000000" w:rsidRPr="00000000">
        <w:rPr>
          <w:b w:val="1"/>
          <w:bCs w:val="1"/>
          <w:sz w:val="20"/>
          <w:szCs w:val="20"/>
          <w:highlight w:val="white"/>
          <w:rtl w:val="0"/>
        </w:rPr>
        <w:t xml:space="preserve">Avaliação de Modelos de Uplift para Otimização de Campanhas de Marketing Online: Um Estudo Comparativo</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02">
      <w:pPr>
        <w:spacing w:line="240" w:lineRule="auto"/>
        <w:rPr>
          <w:sz w:val="20"/>
          <w:szCs w:val="20"/>
        </w:rPr>
      </w:pPr>
      <w:r w:rsidDel="00000000" w:rsidR="00000000" w:rsidRPr="00000000">
        <w:rPr>
          <w:rtl w:val="0"/>
        </w:rPr>
      </w:r>
    </w:p>
    <w:p w:rsidR="00000000" w:rsidDel="00000000" w:rsidP="00000000" w:rsidRDefault="00000000" w:rsidRPr="00000000" w14:paraId="00000003">
      <w:pPr>
        <w:spacing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0"/>
          <w:szCs w:val="20"/>
        </w:rPr>
      </w:pPr>
      <w:r w:rsidDel="00000000" w:rsidR="00000000" w:rsidRPr="00000000">
        <w:rPr>
          <w:sz w:val="20"/>
          <w:szCs w:val="20"/>
          <w:rtl w:val="0"/>
        </w:rPr>
        <w:t xml:space="preserve">María Magdalena Kcala Alvaro¹*;</w:t>
      </w:r>
      <w:r w:rsidDel="00000000" w:rsidR="00000000" w:rsidRPr="00000000">
        <w:rPr>
          <w:sz w:val="20"/>
          <w:szCs w:val="20"/>
          <w:vertAlign w:val="superscript"/>
          <w:rtl w:val="0"/>
        </w:rPr>
        <w:t xml:space="preserve"> </w:t>
      </w:r>
      <w:r w:rsidDel="00000000" w:rsidR="00000000" w:rsidRPr="00000000">
        <w:rPr>
          <w:sz w:val="20"/>
          <w:szCs w:val="20"/>
          <w:highlight w:val="white"/>
          <w:rtl w:val="0"/>
        </w:rPr>
        <w:t xml:space="preserve">Ricardo Limongi</w:t>
      </w:r>
      <w:r w:rsidDel="00000000" w:rsidR="00000000" w:rsidRPr="00000000">
        <w:rPr>
          <w:sz w:val="20"/>
          <w:szCs w:val="20"/>
          <w:vertAlign w:val="superscript"/>
          <w:rtl w:val="0"/>
        </w:rPr>
        <w:t xml:space="preserve">2</w:t>
      </w:r>
      <w:r w:rsidDel="00000000" w:rsidR="00000000" w:rsidRPr="00000000">
        <w:rPr>
          <w:rtl w:val="0"/>
        </w:rPr>
      </w:r>
    </w:p>
    <w:p w:rsidR="00000000" w:rsidDel="00000000" w:rsidP="00000000" w:rsidRDefault="00000000" w:rsidRPr="00000000" w14:paraId="00000005">
      <w:pPr>
        <w:tabs>
          <w:tab w:val="left" w:leader="none" w:pos="6465"/>
        </w:tabs>
        <w:spacing w:line="240" w:lineRule="auto"/>
        <w:rPr>
          <w:b w:val="1"/>
          <w:bCs w:val="1"/>
          <w:sz w:val="20"/>
          <w:szCs w:val="20"/>
        </w:rPr>
      </w:pPr>
      <w:r w:rsidDel="00000000" w:rsidR="00000000" w:rsidRPr="00000000">
        <w:rPr>
          <w:rtl w:val="0"/>
        </w:rPr>
      </w:r>
    </w:p>
    <w:p w:rsidR="00000000" w:rsidDel="00000000" w:rsidP="00000000" w:rsidRDefault="00000000" w:rsidRPr="00000000" w14:paraId="00000006">
      <w:pPr>
        <w:spacing w:line="240" w:lineRule="auto"/>
        <w:jc w:val="left"/>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 Doutoranda em Estatística. Universidade Estadual de Campinas (UNICAMP). E-mail: </w:t>
      </w:r>
      <w:hyperlink r:id="rId7">
        <w:r w:rsidDel="00000000" w:rsidR="00000000" w:rsidRPr="00000000">
          <w:rPr>
            <w:sz w:val="20"/>
            <w:szCs w:val="20"/>
            <w:u w:val="single"/>
            <w:rtl w:val="0"/>
          </w:rPr>
          <w:t xml:space="preserve">mariakcala05@gmail.com</w:t>
        </w:r>
      </w:hyperlink>
      <w:r w:rsidDel="00000000" w:rsidR="00000000" w:rsidRPr="00000000">
        <w:rPr>
          <w:rtl w:val="0"/>
        </w:rPr>
      </w:r>
    </w:p>
    <w:p w:rsidR="00000000" w:rsidDel="00000000" w:rsidP="00000000" w:rsidRDefault="00000000" w:rsidRPr="00000000" w14:paraId="00000007">
      <w:pPr>
        <w:spacing w:line="240" w:lineRule="auto"/>
        <w:jc w:val="left"/>
        <w:rPr>
          <w:sz w:val="20"/>
          <w:szCs w:val="20"/>
        </w:rPr>
      </w:pPr>
      <w:r w:rsidDel="00000000" w:rsidR="00000000" w:rsidRPr="00000000">
        <w:rPr>
          <w:sz w:val="20"/>
          <w:szCs w:val="20"/>
          <w:vertAlign w:val="superscript"/>
          <w:rtl w:val="0"/>
        </w:rPr>
        <w:t xml:space="preserve">2 </w:t>
      </w:r>
      <w:r w:rsidDel="00000000" w:rsidR="00000000" w:rsidRPr="00000000">
        <w:rPr>
          <w:sz w:val="20"/>
          <w:szCs w:val="20"/>
          <w:rtl w:val="0"/>
        </w:rPr>
        <w:t xml:space="preserve">Doutor em Administração. Fundação Getulio Vargas (EAESP/FGV). E-mail: </w:t>
      </w:r>
      <w:hyperlink r:id="rId8">
        <w:r w:rsidDel="00000000" w:rsidR="00000000" w:rsidRPr="00000000">
          <w:rPr>
            <w:sz w:val="20"/>
            <w:szCs w:val="20"/>
            <w:u w:val="single"/>
            <w:rtl w:val="0"/>
          </w:rPr>
          <w:t xml:space="preserve">ricardolimongi@gmail.com</w:t>
        </w:r>
      </w:hyperlink>
      <w:r w:rsidDel="00000000" w:rsidR="00000000" w:rsidRPr="00000000">
        <w:rPr>
          <w:rtl w:val="0"/>
        </w:rPr>
      </w:r>
    </w:p>
    <w:p w:rsidR="00000000" w:rsidDel="00000000" w:rsidP="00000000" w:rsidRDefault="00000000" w:rsidRPr="00000000" w14:paraId="00000008">
      <w:pPr>
        <w:spacing w:line="240" w:lineRule="auto"/>
        <w:jc w:val="left"/>
        <w:rPr>
          <w:sz w:val="20"/>
          <w:szCs w:val="20"/>
        </w:rPr>
      </w:pPr>
      <w:r w:rsidDel="00000000" w:rsidR="00000000" w:rsidRPr="00000000">
        <w:rPr>
          <w:rtl w:val="0"/>
        </w:rPr>
      </w:r>
    </w:p>
    <w:p w:rsidR="00000000" w:rsidDel="00000000" w:rsidP="00000000" w:rsidRDefault="00000000" w:rsidRPr="00000000" w14:paraId="00000009">
      <w:pPr>
        <w:spacing w:line="240" w:lineRule="auto"/>
        <w:jc w:val="left"/>
        <w:rPr>
          <w:sz w:val="20"/>
          <w:szCs w:val="20"/>
        </w:rPr>
      </w:pPr>
      <w:r w:rsidDel="00000000" w:rsidR="00000000" w:rsidRPr="00000000">
        <w:rPr>
          <w:rtl w:val="0"/>
        </w:rPr>
      </w:r>
    </w:p>
    <w:p w:rsidR="00000000" w:rsidDel="00000000" w:rsidP="00000000" w:rsidRDefault="00000000" w:rsidRPr="00000000" w14:paraId="0000000A">
      <w:pPr>
        <w:spacing w:line="240" w:lineRule="auto"/>
        <w:jc w:val="left"/>
        <w:rPr>
          <w:sz w:val="20"/>
          <w:szCs w:val="20"/>
        </w:rPr>
      </w:pPr>
      <w:r w:rsidDel="00000000" w:rsidR="00000000" w:rsidRPr="00000000">
        <w:rPr>
          <w:rtl w:val="0"/>
        </w:rPr>
      </w:r>
    </w:p>
    <w:p w:rsidR="00000000" w:rsidDel="00000000" w:rsidP="00000000" w:rsidRDefault="00000000" w:rsidRPr="00000000" w14:paraId="0000000B">
      <w:pPr>
        <w:spacing w:line="240" w:lineRule="auto"/>
        <w:jc w:val="left"/>
        <w:rPr>
          <w:sz w:val="20"/>
          <w:szCs w:val="20"/>
        </w:rPr>
      </w:pPr>
      <w:r w:rsidDel="00000000" w:rsidR="00000000" w:rsidRPr="00000000">
        <w:rPr>
          <w:rtl w:val="0"/>
        </w:rPr>
      </w:r>
    </w:p>
    <w:p w:rsidR="00000000" w:rsidDel="00000000" w:rsidP="00000000" w:rsidRDefault="00000000" w:rsidRPr="00000000" w14:paraId="0000000C">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0D">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0E">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0">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1">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2">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3">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4">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5">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6">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7">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8">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9">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A">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B">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1C">
      <w:pPr>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40" w:lineRule="auto"/>
        <w:jc w:val="center"/>
        <w:rPr>
          <w:b w:val="1"/>
          <w:bCs w:val="1"/>
          <w:sz w:val="20"/>
          <w:szCs w:val="20"/>
        </w:rPr>
      </w:pPr>
      <w:r w:rsidDel="00000000" w:rsidR="00000000" w:rsidRPr="00000000">
        <w:rPr>
          <w:b w:val="1"/>
          <w:bCs w:val="1"/>
          <w:sz w:val="20"/>
          <w:szCs w:val="20"/>
          <w:highlight w:val="white"/>
          <w:rtl w:val="0"/>
        </w:rPr>
        <w:t xml:space="preserve">Avaliação de Modelos de Uplift para Otimização de Campanhas de Marketing Online: Um Estudo Comparativo</w:t>
      </w:r>
      <w:r w:rsidDel="00000000" w:rsidR="00000000" w:rsidRPr="00000000">
        <w:rPr>
          <w:rtl w:val="0"/>
        </w:rPr>
      </w:r>
    </w:p>
    <w:p w:rsidR="00000000" w:rsidDel="00000000" w:rsidP="00000000" w:rsidRDefault="00000000" w:rsidRPr="00000000" w14:paraId="00000020">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1">
      <w:pPr>
        <w:spacing w:line="240" w:lineRule="auto"/>
        <w:jc w:val="center"/>
        <w:rPr>
          <w:b w:val="1"/>
          <w:bCs w:val="1"/>
          <w:sz w:val="20"/>
          <w:szCs w:val="20"/>
        </w:rPr>
      </w:pPr>
      <w:r w:rsidDel="00000000" w:rsidR="00000000" w:rsidRPr="00000000">
        <w:rPr>
          <w:b w:val="1"/>
          <w:bCs w:val="1"/>
          <w:sz w:val="20"/>
          <w:szCs w:val="20"/>
          <w:rtl w:val="0"/>
        </w:rPr>
        <w:t xml:space="preserve">Título do trabalho de conclusão de curso</w:t>
      </w:r>
    </w:p>
    <w:p w:rsidR="00000000" w:rsidDel="00000000" w:rsidP="00000000" w:rsidRDefault="00000000" w:rsidRPr="00000000" w14:paraId="00000022">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23">
      <w:pPr>
        <w:spacing w:line="240" w:lineRule="auto"/>
        <w:jc w:val="left"/>
        <w:rPr>
          <w:b w:val="1"/>
          <w:bCs w:val="1"/>
          <w:sz w:val="20"/>
          <w:szCs w:val="20"/>
        </w:rPr>
      </w:pPr>
      <w:r w:rsidDel="00000000" w:rsidR="00000000" w:rsidRPr="00000000">
        <w:rPr>
          <w:b w:val="1"/>
          <w:bCs w:val="1"/>
          <w:sz w:val="20"/>
          <w:szCs w:val="20"/>
          <w:rtl w:val="0"/>
        </w:rPr>
        <w:t xml:space="preserve">Resumo (ou Sumário Executivo)</w:t>
      </w:r>
    </w:p>
    <w:p w:rsidR="00000000" w:rsidDel="00000000" w:rsidP="00000000" w:rsidRDefault="00000000" w:rsidRPr="00000000" w14:paraId="000000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O resumo é uma descrição geral do trabalho, apresentando de forma sucinta todas as seções do TCC. </w:t>
      </w:r>
      <w:r w:rsidDel="00000000" w:rsidR="00000000" w:rsidRPr="00000000">
        <w:rPr>
          <w:b w:val="1"/>
          <w:bCs w:val="1"/>
          <w:sz w:val="20"/>
          <w:szCs w:val="20"/>
          <w:rtl w:val="0"/>
        </w:rPr>
        <w:t xml:space="preserve">No caso do curso de</w:t>
      </w:r>
      <w:r w:rsidDel="00000000" w:rsidR="00000000" w:rsidRPr="00000000">
        <w:rPr>
          <w:sz w:val="20"/>
          <w:szCs w:val="20"/>
          <w:rtl w:val="0"/>
        </w:rPr>
        <w:t xml:space="preserve"> </w:t>
      </w:r>
      <w:r w:rsidDel="00000000" w:rsidR="00000000" w:rsidRPr="00000000">
        <w:rPr>
          <w:b w:val="1"/>
          <w:bCs w:val="1"/>
          <w:sz w:val="20"/>
          <w:szCs w:val="20"/>
          <w:rtl w:val="0"/>
        </w:rPr>
        <w:t xml:space="preserve">MBA em Gestão de Projetos</w:t>
      </w:r>
      <w:r w:rsidDel="00000000" w:rsidR="00000000" w:rsidRPr="00000000">
        <w:rPr>
          <w:sz w:val="20"/>
          <w:szCs w:val="20"/>
          <w:rtl w:val="0"/>
        </w:rPr>
        <w:t xml:space="preserve">, em função das particularidades do trabalho – que pode ser um plano de projeto – </w:t>
      </w:r>
      <w:r w:rsidDel="00000000" w:rsidR="00000000" w:rsidRPr="00000000">
        <w:rPr>
          <w:b w:val="1"/>
          <w:bCs w:val="1"/>
          <w:sz w:val="20"/>
          <w:szCs w:val="20"/>
          <w:rtl w:val="0"/>
        </w:rPr>
        <w:t xml:space="preserve">é facultado aos alunos o uso do termo</w:t>
      </w:r>
      <w:r w:rsidDel="00000000" w:rsidR="00000000" w:rsidRPr="00000000">
        <w:rPr>
          <w:sz w:val="20"/>
          <w:szCs w:val="20"/>
          <w:rtl w:val="0"/>
        </w:rPr>
        <w:t xml:space="preserve"> </w:t>
      </w:r>
      <w:r w:rsidDel="00000000" w:rsidR="00000000" w:rsidRPr="00000000">
        <w:rPr>
          <w:b w:val="1"/>
          <w:bCs w:val="1"/>
          <w:sz w:val="20"/>
          <w:szCs w:val="20"/>
          <w:rtl w:val="0"/>
        </w:rPr>
        <w:t xml:space="preserve">Sumário Executivo</w:t>
      </w:r>
      <w:r w:rsidDel="00000000" w:rsidR="00000000" w:rsidRPr="00000000">
        <w:rPr>
          <w:sz w:val="20"/>
          <w:szCs w:val="20"/>
          <w:rtl w:val="0"/>
        </w:rPr>
        <w:t xml:space="preserve">. Essa seção deve ser escrita de forma clara e objetiva, informando ao leitor em que consiste o TCC a fim de despertar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 (passado). O início da seção deve conter uma curta apresentação sobre a importância/justificativa (contextualização do tema) do trabalho. Em seguida, é necessário apresentar o objetivo geral, que deve ser redigido de maneira sucinta e direta. Ademais, a seção deve conter uma breve descrição da metodologia empregada na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nessa seção.</w:t>
      </w:r>
    </w:p>
    <w:p w:rsidR="00000000" w:rsidDel="00000000" w:rsidP="00000000" w:rsidRDefault="00000000" w:rsidRPr="00000000" w14:paraId="00000026">
      <w:pPr>
        <w:spacing w:line="240" w:lineRule="auto"/>
        <w:rPr>
          <w:sz w:val="20"/>
          <w:szCs w:val="20"/>
        </w:rPr>
      </w:pPr>
      <w:r w:rsidDel="00000000" w:rsidR="00000000" w:rsidRPr="00000000">
        <w:rPr>
          <w:b w:val="1"/>
          <w:bCs w:val="1"/>
          <w:sz w:val="20"/>
          <w:szCs w:val="20"/>
          <w:rtl w:val="0"/>
        </w:rPr>
        <w:t xml:space="preserve">Palavras-chave: </w:t>
      </w:r>
      <w:r w:rsidDel="00000000" w:rsidR="00000000" w:rsidRPr="00000000">
        <w:rPr>
          <w:sz w:val="20"/>
          <w:szCs w:val="20"/>
          <w:rtl w:val="0"/>
        </w:rPr>
        <w:t xml:space="preserve">(inserir até cinco palavras diferentes das contidas no título, separadas por ponto-e-vírgula).</w:t>
      </w:r>
    </w:p>
    <w:p w:rsidR="00000000" w:rsidDel="00000000" w:rsidP="00000000" w:rsidRDefault="00000000" w:rsidRPr="00000000" w14:paraId="00000027">
      <w:pPr>
        <w:spacing w:line="240" w:lineRule="auto"/>
        <w:rPr>
          <w:b w:val="1"/>
          <w:bCs w:val="1"/>
          <w:sz w:val="20"/>
          <w:szCs w:val="20"/>
        </w:rPr>
      </w:pPr>
      <w:r w:rsidDel="00000000" w:rsidR="00000000" w:rsidRPr="00000000">
        <w:rPr>
          <w:b w:val="1"/>
          <w:bCs w:val="1"/>
          <w:sz w:val="20"/>
          <w:szCs w:val="20"/>
          <w:rtl w:val="0"/>
        </w:rPr>
        <w:t xml:space="preserve">Atenção: </w:t>
      </w:r>
      <w:r w:rsidDel="00000000" w:rsidR="00000000" w:rsidRPr="00000000">
        <w:rPr>
          <w:sz w:val="20"/>
          <w:szCs w:val="2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28">
      <w:pPr>
        <w:spacing w:line="240" w:lineRule="auto"/>
        <w:jc w:val="left"/>
        <w:rPr>
          <w:b w:val="1"/>
          <w:bCs w:val="1"/>
          <w:sz w:val="20"/>
          <w:szCs w:val="20"/>
        </w:rPr>
      </w:pPr>
      <w:r w:rsidDel="00000000" w:rsidR="00000000" w:rsidRPr="00000000">
        <w:rPr>
          <w:rtl w:val="0"/>
        </w:rPr>
      </w:r>
    </w:p>
    <w:p w:rsidR="00000000" w:rsidDel="00000000" w:rsidP="00000000" w:rsidRDefault="00000000" w:rsidRPr="00000000" w14:paraId="00000029">
      <w:pPr>
        <w:spacing w:line="240" w:lineRule="auto"/>
        <w:jc w:val="center"/>
        <w:rPr>
          <w:sz w:val="20"/>
          <w:szCs w:val="20"/>
        </w:rPr>
      </w:pPr>
      <w:r w:rsidDel="00000000" w:rsidR="00000000" w:rsidRPr="00000000">
        <w:rPr>
          <w:b w:val="1"/>
          <w:bCs w:val="1"/>
          <w:sz w:val="20"/>
          <w:szCs w:val="20"/>
          <w:rtl w:val="0"/>
        </w:rPr>
        <w:t xml:space="preserve">Título em inglês</w:t>
      </w:r>
      <w:r w:rsidDel="00000000" w:rsidR="00000000" w:rsidRPr="00000000">
        <w:rPr>
          <w:sz w:val="20"/>
          <w:szCs w:val="20"/>
          <w:rtl w:val="0"/>
        </w:rPr>
        <w:t xml:space="preserve"> </w:t>
      </w:r>
      <w:r w:rsidDel="00000000" w:rsidR="00000000" w:rsidRPr="00000000">
        <w:rPr>
          <w:b w:val="1"/>
          <w:bCs w:val="1"/>
          <w:sz w:val="20"/>
          <w:szCs w:val="20"/>
          <w:rtl w:val="0"/>
        </w:rPr>
        <w:t xml:space="preserve">ou espanhol</w:t>
      </w:r>
      <w:r w:rsidDel="00000000" w:rsidR="00000000" w:rsidRPr="00000000">
        <w:rPr>
          <w:sz w:val="20"/>
          <w:szCs w:val="20"/>
          <w:rtl w:val="0"/>
        </w:rPr>
        <w:t xml:space="preserve"> (opcional)</w:t>
      </w:r>
    </w:p>
    <w:p w:rsidR="00000000" w:rsidDel="00000000" w:rsidP="00000000" w:rsidRDefault="00000000" w:rsidRPr="00000000" w14:paraId="000000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2B">
      <w:pPr>
        <w:spacing w:line="240" w:lineRule="auto"/>
        <w:jc w:val="left"/>
        <w:rPr>
          <w:sz w:val="20"/>
          <w:szCs w:val="20"/>
        </w:rPr>
      </w:pPr>
      <w:r w:rsidDel="00000000" w:rsidR="00000000" w:rsidRPr="00000000">
        <w:rPr>
          <w:b w:val="1"/>
          <w:bCs w:val="1"/>
          <w:sz w:val="20"/>
          <w:szCs w:val="20"/>
          <w:rtl w:val="0"/>
        </w:rPr>
        <w:t xml:space="preserve">Abstract </w:t>
      </w:r>
      <w:r w:rsidDel="00000000" w:rsidR="00000000" w:rsidRPr="00000000">
        <w:rPr>
          <w:sz w:val="20"/>
          <w:szCs w:val="20"/>
          <w:rtl w:val="0"/>
        </w:rPr>
        <w:t xml:space="preserve">ou</w:t>
      </w:r>
      <w:r w:rsidDel="00000000" w:rsidR="00000000" w:rsidRPr="00000000">
        <w:rPr>
          <w:b w:val="1"/>
          <w:bCs w:val="1"/>
          <w:sz w:val="20"/>
          <w:szCs w:val="20"/>
          <w:rtl w:val="0"/>
        </w:rPr>
        <w:t xml:space="preserve"> Resumen</w:t>
      </w:r>
      <w:r w:rsidDel="00000000" w:rsidR="00000000" w:rsidRPr="00000000">
        <w:rPr>
          <w:sz w:val="20"/>
          <w:szCs w:val="20"/>
          <w:rtl w:val="0"/>
        </w:rPr>
        <w:t xml:space="preserve"> (opcional)</w:t>
      </w:r>
    </w:p>
    <w:p w:rsidR="00000000" w:rsidDel="00000000" w:rsidP="00000000" w:rsidRDefault="00000000" w:rsidRPr="00000000" w14:paraId="0000002C">
      <w:pPr>
        <w:spacing w:line="240" w:lineRule="auto"/>
        <w:rPr>
          <w:sz w:val="20"/>
          <w:szCs w:val="20"/>
        </w:rPr>
      </w:pPr>
      <w:r w:rsidDel="00000000" w:rsidR="00000000" w:rsidRPr="00000000">
        <w:rPr>
          <w:rtl w:val="0"/>
        </w:rPr>
      </w:r>
    </w:p>
    <w:p w:rsidR="00000000" w:rsidDel="00000000" w:rsidP="00000000" w:rsidRDefault="00000000" w:rsidRPr="00000000" w14:paraId="0000002D">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E">
      <w:pPr>
        <w:spacing w:line="240" w:lineRule="auto"/>
        <w:jc w:val="left"/>
        <w:rPr>
          <w:b w:val="1"/>
          <w:bCs w:val="1"/>
          <w:sz w:val="20"/>
          <w:szCs w:val="20"/>
          <w:highlight w:val="white"/>
        </w:rPr>
      </w:pPr>
      <w:r w:rsidDel="00000000" w:rsidR="00000000" w:rsidRPr="00000000">
        <w:rPr>
          <w:b w:val="1"/>
          <w:bCs w:val="1"/>
          <w:sz w:val="20"/>
          <w:szCs w:val="20"/>
          <w:rtl w:val="0"/>
        </w:rPr>
        <w:t xml:space="preserve">Keywords </w:t>
      </w:r>
      <w:r w:rsidDel="00000000" w:rsidR="00000000" w:rsidRPr="00000000">
        <w:rPr>
          <w:sz w:val="20"/>
          <w:szCs w:val="20"/>
          <w:rtl w:val="0"/>
        </w:rPr>
        <w:t xml:space="preserve">ou</w:t>
      </w:r>
      <w:r w:rsidDel="00000000" w:rsidR="00000000" w:rsidRPr="00000000">
        <w:rPr>
          <w:b w:val="1"/>
          <w:bCs w:val="1"/>
          <w:sz w:val="20"/>
          <w:szCs w:val="20"/>
          <w:rtl w:val="0"/>
        </w:rPr>
        <w:t xml:space="preserve"> Palabras Clave:</w:t>
      </w:r>
      <w:r w:rsidDel="00000000" w:rsidR="00000000" w:rsidRPr="00000000">
        <w:rPr>
          <w:sz w:val="20"/>
          <w:szCs w:val="20"/>
          <w:rtl w:val="0"/>
        </w:rPr>
        <w:t xml:space="preserve"> (opcional)</w:t>
      </w:r>
      <w:r w:rsidDel="00000000" w:rsidR="00000000" w:rsidRPr="00000000">
        <w:rPr>
          <w:rtl w:val="0"/>
        </w:rPr>
      </w:r>
    </w:p>
    <w:p w:rsidR="00000000" w:rsidDel="00000000" w:rsidP="00000000" w:rsidRDefault="00000000" w:rsidRPr="00000000" w14:paraId="0000002F">
      <w:pPr>
        <w:spacing w:after="240" w:before="240" w:lineRule="auto"/>
        <w:rPr>
          <w:sz w:val="20"/>
          <w:szCs w:val="20"/>
          <w:highlight w:val="white"/>
        </w:rPr>
      </w:pPr>
      <w:r w:rsidDel="00000000" w:rsidR="00000000" w:rsidRPr="00000000">
        <w:rPr>
          <w:b w:val="1"/>
          <w:bCs w:val="1"/>
          <w:sz w:val="20"/>
          <w:szCs w:val="20"/>
          <w:highlight w:val="white"/>
          <w:rtl w:val="0"/>
        </w:rPr>
        <w:t xml:space="preserve">1 Introdução</w:t>
      </w:r>
      <w:r w:rsidDel="00000000" w:rsidR="00000000" w:rsidRPr="00000000">
        <w:rPr>
          <w:rtl w:val="0"/>
        </w:rPr>
      </w:r>
    </w:p>
    <w:p w:rsidR="00000000" w:rsidDel="00000000" w:rsidP="00000000" w:rsidRDefault="00000000" w:rsidRPr="00000000" w14:paraId="00000030">
      <w:pPr>
        <w:spacing w:after="240" w:before="240" w:lineRule="auto"/>
        <w:rPr>
          <w:sz w:val="20"/>
          <w:szCs w:val="20"/>
          <w:highlight w:val="white"/>
        </w:rPr>
      </w:pPr>
      <w:r w:rsidDel="00000000" w:rsidR="00000000" w:rsidRPr="00000000">
        <w:rPr>
          <w:sz w:val="20"/>
          <w:szCs w:val="20"/>
          <w:highlight w:val="white"/>
          <w:rtl w:val="0"/>
        </w:rPr>
        <w:t xml:space="preserve">Nas plataformas contemporâneas de varejo digital, a geração massiva de rastros observacionais de navegação e transação permite o desenvolvimento de estratégias de personalização ao nível do indivíduo </w:t>
      </w:r>
      <w:hyperlink r:id="rId9">
        <w:r w:rsidDel="00000000" w:rsidR="00000000" w:rsidRPr="00000000">
          <w:rPr>
            <w:sz w:val="20"/>
            <w:szCs w:val="20"/>
            <w:rtl w:val="0"/>
          </w:rPr>
          <w:t xml:space="preserve">(Perera; Fernando; Abeysekera, 2024)</w:t>
        </w:r>
      </w:hyperlink>
      <w:r w:rsidDel="00000000" w:rsidR="00000000" w:rsidRPr="00000000">
        <w:rPr>
          <w:sz w:val="20"/>
          <w:szCs w:val="20"/>
          <w:highlight w:val="white"/>
          <w:rtl w:val="0"/>
        </w:rPr>
        <w:t xml:space="preserve">. A motivação para este trabalho reside na ineficiência das abordagens operacionais tradicionais, baseadas em modelos de propensão ou segmentação heurística que tendem a confundir correlação com impacto causal </w:t>
      </w:r>
      <w:hyperlink r:id="rId10">
        <w:r w:rsidDel="00000000" w:rsidR="00000000" w:rsidRPr="00000000">
          <w:rPr>
            <w:sz w:val="20"/>
            <w:szCs w:val="20"/>
            <w:rtl w:val="0"/>
          </w:rPr>
          <w:t xml:space="preserve">(Perera; Fernando; Abeysekera, 2024)</w:t>
        </w:r>
      </w:hyperlink>
      <w:r w:rsidDel="00000000" w:rsidR="00000000" w:rsidRPr="00000000">
        <w:rPr>
          <w:sz w:val="20"/>
          <w:szCs w:val="20"/>
          <w:highlight w:val="white"/>
          <w:rtl w:val="0"/>
        </w:rPr>
        <w:t xml:space="preserve">. Dados experimentais demonstram que focar apenas na probabilidade de conversão leva ao direcionamento excessivo de recursos para usuários com alta probabilidade de conversão ou compra (os "</w:t>
      </w:r>
      <w:r w:rsidDel="00000000" w:rsidR="00000000" w:rsidRPr="00000000">
        <w:rPr>
          <w:i w:val="1"/>
          <w:iCs w:val="1"/>
          <w:sz w:val="20"/>
          <w:szCs w:val="20"/>
          <w:highlight w:val="white"/>
          <w:rtl w:val="0"/>
        </w:rPr>
        <w:t xml:space="preserve">sure things</w:t>
      </w:r>
      <w:r w:rsidDel="00000000" w:rsidR="00000000" w:rsidRPr="00000000">
        <w:rPr>
          <w:sz w:val="20"/>
          <w:szCs w:val="20"/>
          <w:highlight w:val="white"/>
          <w:rtl w:val="0"/>
        </w:rPr>
        <w:t xml:space="preserve">"), resultando em desperdício de incentivos e exposição </w:t>
      </w:r>
      <w:hyperlink r:id="rId11">
        <w:r w:rsidDel="00000000" w:rsidR="00000000" w:rsidRPr="00000000">
          <w:rPr>
            <w:sz w:val="20"/>
            <w:szCs w:val="20"/>
            <w:rtl w:val="0"/>
          </w:rPr>
          <w:t xml:space="preserve">(Tham, 2026)</w:t>
        </w:r>
      </w:hyperlink>
      <w:r w:rsidDel="00000000" w:rsidR="00000000" w:rsidRPr="00000000">
        <w:rPr>
          <w:sz w:val="20"/>
          <w:szCs w:val="20"/>
          <w:highlight w:val="white"/>
          <w:rtl w:val="0"/>
        </w:rPr>
        <w:t xml:space="preserve">.</w:t>
      </w:r>
    </w:p>
    <w:p w:rsidR="00000000" w:rsidDel="00000000" w:rsidP="00000000" w:rsidRDefault="00000000" w:rsidRPr="00000000" w14:paraId="00000031">
      <w:pPr>
        <w:spacing w:after="240" w:before="240" w:lineRule="auto"/>
        <w:rPr>
          <w:sz w:val="20"/>
          <w:szCs w:val="20"/>
          <w:highlight w:val="white"/>
        </w:rPr>
      </w:pPr>
      <w:r w:rsidDel="00000000" w:rsidR="00000000" w:rsidRPr="00000000">
        <w:rPr>
          <w:sz w:val="20"/>
          <w:szCs w:val="20"/>
          <w:highlight w:val="white"/>
          <w:rtl w:val="0"/>
        </w:rPr>
        <w:t xml:space="preserve">Nesse contexto, surge a necessidade de distinguir entre o resultado observado e o efeito incremental da intervenção </w:t>
      </w:r>
      <w:hyperlink r:id="rId12">
        <w:r w:rsidDel="00000000" w:rsidR="00000000" w:rsidRPr="00000000">
          <w:rPr>
            <w:sz w:val="20"/>
            <w:szCs w:val="20"/>
            <w:rtl w:val="0"/>
          </w:rPr>
          <w:t xml:space="preserve">(Perera; Fernando; Abeysekera, 2024)</w:t>
        </w:r>
      </w:hyperlink>
      <w:r w:rsidDel="00000000" w:rsidR="00000000" w:rsidRPr="00000000">
        <w:rPr>
          <w:sz w:val="20"/>
          <w:szCs w:val="20"/>
          <w:highlight w:val="white"/>
          <w:rtl w:val="0"/>
        </w:rPr>
        <w:t xml:space="preserve">. Enquanto modelos preditivos estimam a probabilidade de compra, a modelagem de uplift busca estimar o Efeito de Tratamento Médio Condicional (CATE), definido como a diferença esperada nos resultados entre indivíduos tratados e não tratados </w:t>
      </w:r>
      <w:hyperlink r:id="rId13">
        <w:r w:rsidDel="00000000" w:rsidR="00000000" w:rsidRPr="00000000">
          <w:rPr>
            <w:sz w:val="20"/>
            <w:szCs w:val="20"/>
            <w:rtl w:val="0"/>
          </w:rPr>
          <w:t xml:space="preserve">(Liu et al., 2024)</w:t>
        </w:r>
      </w:hyperlink>
      <w:r w:rsidDel="00000000" w:rsidR="00000000" w:rsidRPr="00000000">
        <w:rPr>
          <w:sz w:val="20"/>
          <w:szCs w:val="20"/>
          <w:highlight w:val="white"/>
          <w:rtl w:val="0"/>
        </w:rPr>
        <w:t xml:space="preserve">. Em termos práticos, essa abordagem permite que o marketing identifique usuários "persuadíveis", cujas mudanças de comportamento são induzidas especificamente pela ação, otimizando a alocação de recursos onde o efeito causal é positivo </w:t>
      </w:r>
      <w:hyperlink r:id="rId14">
        <w:r w:rsidDel="00000000" w:rsidR="00000000" w:rsidRPr="00000000">
          <w:rPr>
            <w:sz w:val="20"/>
            <w:szCs w:val="20"/>
            <w:rtl w:val="0"/>
          </w:rPr>
          <w:t xml:space="preserve">(Tham, 2026)</w:t>
        </w:r>
      </w:hyperlink>
      <w:r w:rsidDel="00000000" w:rsidR="00000000" w:rsidRPr="00000000">
        <w:rPr>
          <w:sz w:val="20"/>
          <w:szCs w:val="20"/>
          <w:highlight w:val="white"/>
          <w:rtl w:val="0"/>
        </w:rPr>
        <w:t xml:space="preserve">.</w:t>
      </w:r>
    </w:p>
    <w:p w:rsidR="00000000" w:rsidDel="00000000" w:rsidP="00000000" w:rsidRDefault="00000000" w:rsidRPr="00000000" w14:paraId="00000032">
      <w:pPr>
        <w:spacing w:after="240" w:before="240" w:lineRule="auto"/>
        <w:rPr>
          <w:sz w:val="20"/>
          <w:szCs w:val="20"/>
          <w:highlight w:val="white"/>
        </w:rPr>
      </w:pPr>
      <w:r w:rsidDel="00000000" w:rsidR="00000000" w:rsidRPr="00000000">
        <w:rPr>
          <w:sz w:val="20"/>
          <w:szCs w:val="20"/>
          <w:highlight w:val="white"/>
          <w:rtl w:val="0"/>
        </w:rPr>
        <w:t xml:space="preserve">A contribuição deste trabalho consiste na adaptação e avaliação do método Unified Discriminative Causal Forest (UDCF), proposto por </w:t>
      </w:r>
      <w:hyperlink r:id="rId15">
        <w:r w:rsidDel="00000000" w:rsidR="00000000" w:rsidRPr="00000000">
          <w:rPr>
            <w:sz w:val="20"/>
            <w:szCs w:val="20"/>
            <w:rtl w:val="0"/>
          </w:rPr>
          <w:t xml:space="preserve">Ai et al., 2022</w:t>
        </w:r>
      </w:hyperlink>
      <w:r w:rsidDel="00000000" w:rsidR="00000000" w:rsidRPr="00000000">
        <w:rPr>
          <w:sz w:val="20"/>
          <w:szCs w:val="20"/>
          <w:highlight w:val="white"/>
          <w:rtl w:val="0"/>
        </w:rPr>
        <w:t xml:space="preserve">, desenvolvido para estimar efeitos heterogêneos de tratamento em cenários com múltiplas intervenções por meio de uma única floresta causal. Embora o método tenha sido originalmente desenvolvido e avaliado em uma plataforma digital de conteúdo voltada à otimização de engajamento por meio de incentivos, em um contexto industrial de larga escala, este trabalho investiga seu desempenho em um domínio distinto de marketing direcionado, utilizando o dataset Hillstrom, um benchmark bem conhecido em análise de marketing (</w:t>
      </w:r>
      <w:hyperlink r:id="rId16">
        <w:r w:rsidDel="00000000" w:rsidR="00000000" w:rsidRPr="00000000">
          <w:rPr>
            <w:sz w:val="20"/>
            <w:szCs w:val="20"/>
            <w:rtl w:val="0"/>
          </w:rPr>
          <w:t xml:space="preserve">Albert; Goldenberg, 2022; Berrevoets; Verboven; Verbeke, 2022; Gubela; Lessmann, 2020; Ibragimov; Vakhrushev, 2024</w:t>
        </w:r>
      </w:hyperlink>
      <w:r w:rsidDel="00000000" w:rsidR="00000000" w:rsidRPr="00000000">
        <w:rPr>
          <w:sz w:val="20"/>
          <w:szCs w:val="20"/>
          <w:highlight w:val="white"/>
          <w:rtl w:val="0"/>
        </w:rPr>
        <w:t xml:space="preserve">; </w:t>
      </w:r>
      <w:hyperlink r:id="rId17">
        <w:r w:rsidDel="00000000" w:rsidR="00000000" w:rsidRPr="00000000">
          <w:rPr>
            <w:sz w:val="20"/>
            <w:szCs w:val="20"/>
            <w:rtl w:val="0"/>
          </w:rPr>
          <w:t xml:space="preserve">Kashem et al., 2026</w:t>
        </w:r>
      </w:hyperlink>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w:t>
      </w:r>
    </w:p>
    <w:p w:rsidR="00000000" w:rsidDel="00000000" w:rsidP="00000000" w:rsidRDefault="00000000" w:rsidRPr="00000000" w14:paraId="00000033">
      <w:pPr>
        <w:spacing w:after="240" w:before="240" w:lineRule="auto"/>
        <w:rPr>
          <w:sz w:val="20"/>
          <w:szCs w:val="20"/>
          <w:highlight w:val="white"/>
        </w:rPr>
      </w:pPr>
      <w:r w:rsidDel="00000000" w:rsidR="00000000" w:rsidRPr="00000000">
        <w:rPr>
          <w:sz w:val="20"/>
          <w:szCs w:val="20"/>
          <w:highlight w:val="white"/>
          <w:rtl w:val="0"/>
        </w:rPr>
        <w:t xml:space="preserve">Para fins de comparação, são considerados os meta-learners S-learner, T-learner e X-learner, amplamente utilizados na literatura de inferência causal e modelagem de uplift. Esses métodos utilizam algoritmos supervisionados convencionais para decompor e estimar efeitos heterogêneos de tratamento </w:t>
      </w:r>
      <w:hyperlink r:id="rId18">
        <w:r w:rsidDel="00000000" w:rsidR="00000000" w:rsidRPr="00000000">
          <w:rPr>
            <w:sz w:val="20"/>
            <w:szCs w:val="20"/>
            <w:rtl w:val="0"/>
          </w:rPr>
          <w:t xml:space="preserve">(Perera; Fernando; Abeysekera, 2024)</w:t>
        </w:r>
      </w:hyperlink>
      <w:r w:rsidDel="00000000" w:rsidR="00000000" w:rsidRPr="00000000">
        <w:rPr>
          <w:sz w:val="20"/>
          <w:szCs w:val="20"/>
          <w:highlight w:val="white"/>
          <w:rtl w:val="0"/>
        </w:rPr>
        <w:t xml:space="preserve">, constituindo abordagens de referência para avaliação de modelos causais. Em comparação com métodos tradicionais de segmentação heurística ou predição de resposta, os meta-learners estimam a heterogeneidade dos efeitos causais entre indivíduos e subgrupos </w:t>
      </w:r>
      <w:hyperlink r:id="rId19">
        <w:r w:rsidDel="00000000" w:rsidR="00000000" w:rsidRPr="00000000">
          <w:rPr>
            <w:sz w:val="20"/>
            <w:szCs w:val="20"/>
            <w:rtl w:val="0"/>
          </w:rPr>
          <w:t xml:space="preserve">(Zhao; Harinen, 2019)</w:t>
        </w:r>
      </w:hyperlink>
      <w:r w:rsidDel="00000000" w:rsidR="00000000" w:rsidRPr="00000000">
        <w:rPr>
          <w:sz w:val="20"/>
          <w:szCs w:val="20"/>
          <w:highlight w:val="white"/>
          <w:rtl w:val="0"/>
        </w:rPr>
        <w:t xml:space="preserve">.</w:t>
      </w:r>
    </w:p>
    <w:p w:rsidR="00000000" w:rsidDel="00000000" w:rsidP="00000000" w:rsidRDefault="00000000" w:rsidRPr="00000000" w14:paraId="00000034">
      <w:pPr>
        <w:spacing w:after="240" w:before="240" w:lineRule="auto"/>
        <w:rPr>
          <w:sz w:val="20"/>
          <w:szCs w:val="20"/>
          <w:highlight w:val="white"/>
        </w:rPr>
      </w:pPr>
      <w:r w:rsidDel="00000000" w:rsidR="00000000" w:rsidRPr="00000000">
        <w:rPr>
          <w:sz w:val="20"/>
          <w:szCs w:val="20"/>
          <w:highlight w:val="white"/>
          <w:rtl w:val="0"/>
        </w:rPr>
        <w:t xml:space="preserve">Dessa forma, busca-se analisar a capacidade de generalização do UDCF para um contexto diferente do considerado em </w:t>
      </w:r>
      <w:hyperlink r:id="rId20">
        <w:r w:rsidDel="00000000" w:rsidR="00000000" w:rsidRPr="00000000">
          <w:rPr>
            <w:sz w:val="20"/>
            <w:szCs w:val="20"/>
            <w:rtl w:val="0"/>
          </w:rPr>
          <w:t xml:space="preserve">Ai et al., 2022</w:t>
        </w:r>
      </w:hyperlink>
      <w:r w:rsidDel="00000000" w:rsidR="00000000" w:rsidRPr="00000000">
        <w:rPr>
          <w:sz w:val="20"/>
          <w:szCs w:val="20"/>
          <w:highlight w:val="white"/>
          <w:rtl w:val="0"/>
        </w:rPr>
        <w:t xml:space="preserve">, bem como sua eficácia na identificação de clientes mais suscetíveis a diferentes estratégias de comunicação por e-mail. Os resultados obtidos podem fornecer evidências sobre a aplicabilidade prática do método em problemas de marketing direcionado em cenários de  múltiplas intervenções e contribuir para a discussão sobre o uso de técnicas modernas de inferência causal em cenários de personalização e tomada de decisão baseada em dados.</w:t>
      </w:r>
    </w:p>
    <w:p w:rsidR="00000000" w:rsidDel="00000000" w:rsidP="00000000" w:rsidRDefault="00000000" w:rsidRPr="00000000" w14:paraId="00000035">
      <w:pPr>
        <w:spacing w:after="240" w:before="240" w:lineRule="auto"/>
        <w:rPr>
          <w:sz w:val="20"/>
          <w:szCs w:val="20"/>
          <w:highlight w:val="white"/>
        </w:rPr>
      </w:pPr>
      <w:r w:rsidDel="00000000" w:rsidR="00000000" w:rsidRPr="00000000">
        <w:rPr>
          <w:sz w:val="20"/>
          <w:szCs w:val="20"/>
          <w:highlight w:val="white"/>
          <w:rtl w:val="0"/>
        </w:rPr>
        <w:t xml:space="preserve">Diante desse contexto, o objetivo deste trabalho é adaptar e avaliar o método Unified Discriminative Causal Forest (UDCF) no dataset Hillstrom. Especificamente, busca-se estimar efeitos heterogêneos de tratamento associados a diferentes estratégias de comunicação por e-mail e comparar o desempenho do UDCF com abordagens tradicionais de modelagem causal, incluindo meta-learners amplamente utilizados na literatura. Adicionalmente, pretende-se analisar a capacidade de generalização do método para um domínio de aplicação distinto daquele considerado em sua proposição original, investigando seu potencial para apoiar decisões de personalização e direcionamento de campanhas de marketing.</w:t>
      </w:r>
    </w:p>
    <w:p w:rsidR="00000000" w:rsidDel="00000000" w:rsidP="00000000" w:rsidRDefault="00000000" w:rsidRPr="00000000" w14:paraId="00000036">
      <w:pPr>
        <w:spacing w:after="240" w:before="240" w:lineRule="auto"/>
        <w:rPr>
          <w:sz w:val="20"/>
          <w:szCs w:val="20"/>
          <w:highlight w:val="white"/>
        </w:rPr>
      </w:pPr>
      <w:r w:rsidDel="00000000" w:rsidR="00000000" w:rsidRPr="00000000">
        <w:rPr>
          <w:sz w:val="20"/>
          <w:szCs w:val="20"/>
          <w:highlight w:val="white"/>
          <w:rtl w:val="0"/>
        </w:rPr>
        <w:t xml:space="preserve">O restante deste trabalho está organizado da seguinte forma. A Seção 2 apresenta os fundamentos teóricos da inferência causal e dos efeitos heterogêneos de tratamento. A Seção 3 descreve a base de dados, as etapas de pré-processamento, os métodos avaliados e o procedimento de estimação dos efeitos causais. A Seção 4 apresenta os resultados obtidos e a comparação entre os modelos considerados. Por fim, a Seção 5 reúne as conclusões, limitações do estudo e possíveis direções para trabalhos futuros.</w:t>
      </w:r>
    </w:p>
    <w:p w:rsidR="00000000" w:rsidDel="00000000" w:rsidP="00000000" w:rsidRDefault="00000000" w:rsidRPr="00000000" w14:paraId="00000037">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2 Fundamentos Teóricos</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A inferência causal busca identificar relações de causa e efeito ao analisar como os resultados variam em resposta a intervenções ou tratamentos </w:t>
      </w:r>
      <w:hyperlink r:id="rId21">
        <w:r w:rsidDel="00000000" w:rsidR="00000000" w:rsidRPr="00000000">
          <w:rPr>
            <w:sz w:val="20"/>
            <w:szCs w:val="20"/>
            <w:rtl w:val="0"/>
          </w:rPr>
          <w:t xml:space="preserve">(Yao et al., 2021)</w:t>
        </w:r>
      </w:hyperlink>
      <w:r w:rsidDel="00000000" w:rsidR="00000000" w:rsidRPr="00000000">
        <w:rPr>
          <w:sz w:val="20"/>
          <w:szCs w:val="20"/>
          <w:rtl w:val="0"/>
        </w:rPr>
        <w:t xml:space="preserve">. Dois dos arcabouços teóricos mais amplamente utilizados são o arcabouço de Potential Outcomes (PO), também conhecido como Modelo Causal de </w:t>
      </w:r>
      <w:hyperlink r:id="rId22">
        <w:r w:rsidDel="00000000" w:rsidR="00000000" w:rsidRPr="00000000">
          <w:rPr>
            <w:sz w:val="20"/>
            <w:szCs w:val="20"/>
            <w:rtl w:val="0"/>
          </w:rPr>
          <w:t xml:space="preserve">Rubin</w:t>
        </w:r>
      </w:hyperlink>
      <w:r w:rsidDel="00000000" w:rsidR="00000000" w:rsidRPr="00000000">
        <w:rPr>
          <w:sz w:val="20"/>
          <w:szCs w:val="20"/>
          <w:rtl w:val="0"/>
        </w:rPr>
        <w:t xml:space="preserve"> </w:t>
      </w:r>
      <w:hyperlink r:id="rId23">
        <w:r w:rsidDel="00000000" w:rsidR="00000000" w:rsidRPr="00000000">
          <w:rPr>
            <w:sz w:val="20"/>
            <w:szCs w:val="20"/>
            <w:rtl w:val="0"/>
          </w:rPr>
          <w:t xml:space="preserve">(Rubin, 1974)</w:t>
        </w:r>
      </w:hyperlink>
      <w:r w:rsidDel="00000000" w:rsidR="00000000" w:rsidRPr="00000000">
        <w:rPr>
          <w:sz w:val="20"/>
          <w:szCs w:val="20"/>
          <w:rtl w:val="0"/>
        </w:rPr>
        <w:t xml:space="preserve"> e o Structural Causal Model (SCM) </w:t>
      </w:r>
      <w:hyperlink r:id="rId24">
        <w:r w:rsidDel="00000000" w:rsidR="00000000" w:rsidRPr="00000000">
          <w:rPr>
            <w:sz w:val="20"/>
            <w:szCs w:val="20"/>
            <w:rtl w:val="0"/>
          </w:rPr>
          <w:t xml:space="preserve">(Pearl, 1995, 2009a, 2009b)</w:t>
        </w:r>
      </w:hyperlink>
      <w:r w:rsidDel="00000000" w:rsidR="00000000" w:rsidRPr="00000000">
        <w:rPr>
          <w:sz w:val="20"/>
          <w:szCs w:val="20"/>
          <w:rtl w:val="0"/>
        </w:rPr>
        <w:t xml:space="preserve">. Neste trabalho adotamos o arcabouço de Resultados Potenciais cujo objetivo central consiste em estimar os efeitos causais decorrentes da aplicação de intervenções específicas </w:t>
      </w:r>
      <w:hyperlink r:id="rId25">
        <w:r w:rsidDel="00000000" w:rsidR="00000000" w:rsidRPr="00000000">
          <w:rPr>
            <w:sz w:val="20"/>
            <w:szCs w:val="20"/>
            <w:rtl w:val="0"/>
          </w:rPr>
          <w:t xml:space="preserve">(Gao et al., 2024)</w:t>
        </w:r>
      </w:hyperlink>
      <w:r w:rsidDel="00000000" w:rsidR="00000000" w:rsidRPr="00000000">
        <w:rPr>
          <w:sz w:val="20"/>
          <w:szCs w:val="20"/>
          <w:rtl w:val="0"/>
        </w:rPr>
        <w:t xml:space="preserve">.</w:t>
      </w:r>
    </w:p>
    <w:p w:rsidR="00000000" w:rsidDel="00000000" w:rsidP="00000000" w:rsidRDefault="00000000" w:rsidRPr="00000000" w14:paraId="00000039">
      <w:pPr>
        <w:spacing w:before="120" w:line="276" w:lineRule="auto"/>
        <w:rPr>
          <w:sz w:val="20"/>
          <w:szCs w:val="20"/>
        </w:rPr>
      </w:pPr>
      <w:r w:rsidDel="00000000" w:rsidR="00000000" w:rsidRPr="00000000">
        <w:rPr>
          <w:sz w:val="20"/>
          <w:szCs w:val="20"/>
          <w:rtl w:val="0"/>
        </w:rPr>
        <w:t xml:space="preserve">Sejam </w:t>
      </w:r>
      <m:oMath>
        <m:r>
          <w:rPr>
            <w:sz w:val="20"/>
            <w:szCs w:val="20"/>
          </w:rPr>
          <m:t xml:space="preserve">T </m:t>
        </m:r>
        <m:r>
          <w:rPr>
            <w:sz w:val="20"/>
            <w:szCs w:val="20"/>
          </w:rPr>
          <m:t>∈</m:t>
        </m:r>
        <m:r>
          <w:rPr>
            <w:sz w:val="20"/>
            <w:szCs w:val="20"/>
          </w:rPr>
          <m:t xml:space="preserve">{0,1,...,k}</m:t>
        </m:r>
      </m:oMath>
      <w:r w:rsidDel="00000000" w:rsidR="00000000" w:rsidRPr="00000000">
        <w:rPr>
          <w:sz w:val="20"/>
          <w:szCs w:val="20"/>
          <w:rtl w:val="0"/>
        </w:rPr>
        <w:t xml:space="preserve"> a variável de tratamento e </w:t>
      </w:r>
      <m:oMath>
        <m:r>
          <w:rPr>
            <w:sz w:val="20"/>
            <w:szCs w:val="20"/>
          </w:rPr>
          <m:t xml:space="preserve">Y</m:t>
        </m:r>
      </m:oMath>
      <w:r w:rsidDel="00000000" w:rsidR="00000000" w:rsidRPr="00000000">
        <w:rPr>
          <w:sz w:val="20"/>
          <w:szCs w:val="20"/>
          <w:rtl w:val="0"/>
        </w:rPr>
        <w:t xml:space="preserve"> a variável de resultado. O resultado potencial sob o tratamento </w:t>
      </w:r>
      <m:oMath>
        <m:r>
          <w:rPr>
            <w:sz w:val="20"/>
            <w:szCs w:val="20"/>
          </w:rPr>
          <m:t xml:space="preserve">t</m:t>
        </m:r>
      </m:oMath>
      <w:r w:rsidDel="00000000" w:rsidR="00000000" w:rsidRPr="00000000">
        <w:rPr>
          <w:sz w:val="20"/>
          <w:szCs w:val="20"/>
          <w:rtl w:val="0"/>
        </w:rPr>
        <w:t xml:space="preserve"> para a unidade </w:t>
      </w:r>
      <m:oMath>
        <m:r>
          <w:rPr>
            <w:sz w:val="20"/>
            <w:szCs w:val="20"/>
          </w:rPr>
          <m:t xml:space="preserve">i</m:t>
        </m:r>
      </m:oMath>
      <w:r w:rsidDel="00000000" w:rsidR="00000000" w:rsidRPr="00000000">
        <w:rPr>
          <w:sz w:val="20"/>
          <w:szCs w:val="20"/>
          <w:rtl w:val="0"/>
        </w:rPr>
        <w:t xml:space="preserve"> é denotado por </w:t>
      </w:r>
      <m:oMath>
        <m:sSub>
          <m:sSubPr>
            <m:ctrlPr>
              <w:rPr>
                <w:sz w:val="20"/>
                <w:szCs w:val="20"/>
              </w:rPr>
            </m:ctrlPr>
          </m:sSubPr>
          <m:e>
            <m:r>
              <w:rPr>
                <w:sz w:val="20"/>
                <w:szCs w:val="20"/>
              </w:rPr>
              <m:t xml:space="preserve">Y</m:t>
            </m:r>
          </m:e>
          <m:sub>
            <m:r>
              <w:rPr>
                <w:sz w:val="20"/>
                <w:szCs w:val="20"/>
              </w:rPr>
              <m:t xml:space="preserve">i</m:t>
            </m:r>
          </m:sub>
        </m:sSub>
        <m:r>
          <w:rPr>
            <w:sz w:val="20"/>
            <w:szCs w:val="20"/>
          </w:rPr>
          <m:t xml:space="preserve">(t)</m:t>
        </m:r>
      </m:oMath>
      <w:r w:rsidDel="00000000" w:rsidR="00000000" w:rsidRPr="00000000">
        <w:rPr>
          <w:sz w:val="20"/>
          <w:szCs w:val="20"/>
          <w:rtl w:val="0"/>
        </w:rPr>
        <w:t xml:space="preserve"> e </w:t>
      </w:r>
      <m:oMath>
        <m:r>
          <w:rPr>
            <w:sz w:val="20"/>
            <w:szCs w:val="20"/>
          </w:rPr>
          <m:t xml:space="preserve">(k+1)</m:t>
        </m:r>
      </m:oMath>
      <w:r w:rsidDel="00000000" w:rsidR="00000000" w:rsidRPr="00000000">
        <w:rPr>
          <w:sz w:val="20"/>
          <w:szCs w:val="20"/>
          <w:rtl w:val="0"/>
        </w:rPr>
        <w:t xml:space="preserve"> representa o número de intervenções alternativas.</w:t>
      </w:r>
    </w:p>
    <w:p w:rsidR="00000000" w:rsidDel="00000000" w:rsidP="00000000" w:rsidRDefault="00000000" w:rsidRPr="00000000" w14:paraId="0000003A">
      <w:pPr>
        <w:spacing w:line="276" w:lineRule="auto"/>
        <w:jc w:val="left"/>
        <w:rPr>
          <w:sz w:val="20"/>
          <w:szCs w:val="20"/>
        </w:rPr>
      </w:pPr>
      <w:r w:rsidDel="00000000" w:rsidR="00000000" w:rsidRPr="00000000">
        <w:rPr>
          <w:rtl w:val="0"/>
        </w:rPr>
      </w:r>
    </w:p>
    <w:p w:rsidR="00000000" w:rsidDel="00000000" w:rsidP="00000000" w:rsidRDefault="00000000" w:rsidRPr="00000000" w14:paraId="0000003B">
      <w:pPr>
        <w:spacing w:line="276" w:lineRule="auto"/>
        <w:rPr>
          <w:sz w:val="20"/>
          <w:szCs w:val="20"/>
        </w:rPr>
      </w:pPr>
      <w:r w:rsidDel="00000000" w:rsidR="00000000" w:rsidRPr="00000000">
        <w:rPr>
          <w:sz w:val="20"/>
          <w:szCs w:val="20"/>
          <w:rtl w:val="0"/>
        </w:rPr>
        <w:t xml:space="preserve">O efeito causal de um tratamento pode ser definido em diferentes níveis de granularidade. </w:t>
      </w:r>
    </w:p>
    <w:p w:rsidR="00000000" w:rsidDel="00000000" w:rsidP="00000000" w:rsidRDefault="00000000" w:rsidRPr="00000000" w14:paraId="0000003C">
      <w:pPr>
        <w:spacing w:line="276" w:lineRule="auto"/>
        <w:rPr>
          <w:sz w:val="20"/>
          <w:szCs w:val="20"/>
        </w:rPr>
      </w:pP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sz w:val="20"/>
          <w:szCs w:val="20"/>
          <w:rtl w:val="0"/>
        </w:rPr>
        <w:t xml:space="preserve">No nível populacional, o efeito médio do tratamento </w:t>
      </w:r>
      <m:oMath>
        <m:r>
          <w:rPr>
            <w:sz w:val="20"/>
            <w:szCs w:val="20"/>
          </w:rPr>
          <m:t xml:space="preserve">ATE</m:t>
        </m:r>
      </m:oMath>
      <w:r w:rsidDel="00000000" w:rsidR="00000000" w:rsidRPr="00000000">
        <w:rPr>
          <w:sz w:val="20"/>
          <w:szCs w:val="20"/>
          <w:rtl w:val="0"/>
        </w:rPr>
        <w:t xml:space="preserve"> é definido como:</w:t>
      </w:r>
    </w:p>
    <w:p w:rsidR="00000000" w:rsidDel="00000000" w:rsidP="00000000" w:rsidRDefault="00000000" w:rsidRPr="00000000" w14:paraId="0000003E">
      <w:pPr>
        <w:spacing w:line="276" w:lineRule="auto"/>
        <w:rPr>
          <w:sz w:val="20"/>
          <w:szCs w:val="20"/>
        </w:rPr>
      </w:pPr>
      <w:r w:rsidDel="00000000" w:rsidR="00000000" w:rsidRPr="00000000">
        <w:rPr>
          <w:rtl w:val="0"/>
        </w:rPr>
      </w:r>
    </w:p>
    <w:tbl>
      <w:tblPr>
        <w:tblStyle w:val="Table1"/>
        <w:tblW w:w="9070.0" w:type="dxa"/>
        <w:jc w:val="left"/>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                    </w:t>
            </w:r>
            <m:oMath>
              <m:r>
                <w:rPr>
                  <w:sz w:val="20"/>
                  <w:szCs w:val="20"/>
                </w:rPr>
                <m:t xml:space="preserve">ATE(t,t')=E[Y(t)-Y(t´)]</m:t>
              </m:r>
            </m:oMath>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No nível individual, o efeito individual do tratamento </w:t>
      </w:r>
      <m:oMath>
        <m:r>
          <w:rPr>
            <w:sz w:val="20"/>
            <w:szCs w:val="20"/>
          </w:rPr>
          <m:t xml:space="preserve">ITE</m:t>
        </m:r>
      </m:oMath>
      <w:r w:rsidDel="00000000" w:rsidR="00000000" w:rsidRPr="00000000">
        <w:rPr>
          <w:sz w:val="20"/>
          <w:szCs w:val="20"/>
          <w:rtl w:val="0"/>
        </w:rPr>
        <w:t xml:space="preserve"> mede o efeito causal de um tratamento para uma unidade </w:t>
      </w:r>
      <m:oMath>
        <m:r>
          <w:rPr>
            <w:sz w:val="20"/>
            <w:szCs w:val="20"/>
          </w:rPr>
          <m:t xml:space="preserve">i</m:t>
        </m:r>
      </m:oMath>
      <w:r w:rsidDel="00000000" w:rsidR="00000000" w:rsidRPr="00000000">
        <w:rPr>
          <w:sz w:val="20"/>
          <w:szCs w:val="20"/>
          <w:rtl w:val="0"/>
        </w:rPr>
        <w:t xml:space="preserve"> específica:</w:t>
      </w:r>
    </w:p>
    <w:p w:rsidR="00000000" w:rsidDel="00000000" w:rsidP="00000000" w:rsidRDefault="00000000" w:rsidRPr="00000000" w14:paraId="00000042">
      <w:pPr>
        <w:spacing w:line="276" w:lineRule="auto"/>
        <w:rPr>
          <w:sz w:val="20"/>
          <w:szCs w:val="20"/>
        </w:rPr>
      </w:pPr>
      <w:r w:rsidDel="00000000" w:rsidR="00000000" w:rsidRPr="00000000">
        <w:rPr>
          <w:rtl w:val="0"/>
        </w:rPr>
      </w:r>
    </w:p>
    <w:tbl>
      <w:tblPr>
        <w:tblStyle w:val="Table2"/>
        <w:tblW w:w="9070.0" w:type="dxa"/>
        <w:jc w:val="left"/>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                             </w:t>
            </w:r>
            <m:oMath>
              <m:r>
                <w:rPr>
                  <w:sz w:val="20"/>
                  <w:szCs w:val="20"/>
                </w:rPr>
                <m:t xml:space="preserve">IT</m:t>
              </m:r>
              <m:sSub>
                <m:sSubPr>
                  <m:ctrlPr>
                    <w:rPr>
                      <w:sz w:val="20"/>
                      <w:szCs w:val="20"/>
                    </w:rPr>
                  </m:ctrlPr>
                </m:sSubPr>
                <m:e>
                  <m:r>
                    <w:rPr>
                      <w:sz w:val="20"/>
                      <w:szCs w:val="20"/>
                    </w:rPr>
                    <m:t xml:space="preserve">E</m:t>
                  </m:r>
                </m:e>
                <m:sub>
                  <m:r>
                    <w:rPr>
                      <w:sz w:val="20"/>
                      <w:szCs w:val="20"/>
                    </w:rPr>
                    <m:t xml:space="preserve">i</m:t>
                  </m:r>
                </m:sub>
              </m:sSub>
              <m:r>
                <w:rPr>
                  <w:sz w:val="20"/>
                  <w:szCs w:val="20"/>
                </w:rPr>
                <m:t xml:space="preserve">(t,t´)=</m:t>
              </m:r>
              <m:sSub>
                <m:sSubPr>
                  <m:ctrlPr>
                    <w:rPr>
                      <w:sz w:val="20"/>
                      <w:szCs w:val="20"/>
                    </w:rPr>
                  </m:ctrlPr>
                </m:sSubPr>
                <m:e>
                  <m:r>
                    <w:rPr>
                      <w:sz w:val="20"/>
                      <w:szCs w:val="20"/>
                    </w:rPr>
                    <m:t xml:space="preserve">Y</m:t>
                  </m:r>
                </m:e>
                <m:sub>
                  <m:r>
                    <w:rPr>
                      <w:sz w:val="20"/>
                      <w:szCs w:val="20"/>
                    </w:rPr>
                    <m:t xml:space="preserve">i</m:t>
                  </m:r>
                </m:sub>
              </m:sSub>
              <m:r>
                <w:rPr>
                  <w:sz w:val="20"/>
                  <w:szCs w:val="20"/>
                </w:rPr>
                <m:t xml:space="preserve">(t)-</m:t>
              </m:r>
              <m:sSub>
                <m:sSubPr>
                  <m:ctrlPr>
                    <w:rPr>
                      <w:sz w:val="20"/>
                      <w:szCs w:val="20"/>
                    </w:rPr>
                  </m:ctrlPr>
                </m:sSubPr>
                <m:e>
                  <m:r>
                    <w:rPr>
                      <w:sz w:val="20"/>
                      <w:szCs w:val="20"/>
                    </w:rPr>
                    <m:t xml:space="preserve">Y</m:t>
                  </m:r>
                </m:e>
                <m:sub>
                  <m:r>
                    <w:rPr>
                      <w:sz w:val="20"/>
                      <w:szCs w:val="20"/>
                    </w:rPr>
                    <m:t xml:space="preserve">i</m:t>
                  </m:r>
                </m:sub>
              </m:sSub>
              <m:r>
                <w:rPr>
                  <w:sz w:val="20"/>
                  <w:szCs w:val="20"/>
                </w:rPr>
                <m:t xml:space="preserve">(t´)</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No nível do subgrupo, o  </w:t>
      </w:r>
      <w:r w:rsidDel="00000000" w:rsidR="00000000" w:rsidRPr="00000000">
        <w:rPr>
          <w:sz w:val="20"/>
          <w:szCs w:val="20"/>
          <w:highlight w:val="white"/>
          <w:rtl w:val="0"/>
        </w:rPr>
        <w:t xml:space="preserve">efeito médio condicional do tratamento </w:t>
      </w:r>
      <m:oMath>
        <m:r>
          <w:rPr>
            <w:sz w:val="20"/>
            <w:szCs w:val="20"/>
          </w:rPr>
          <m:t xml:space="preserve">CATE</m:t>
        </m:r>
      </m:oMath>
      <w:r w:rsidDel="00000000" w:rsidR="00000000" w:rsidRPr="00000000">
        <w:rPr>
          <w:sz w:val="20"/>
          <w:szCs w:val="20"/>
          <w:rtl w:val="0"/>
        </w:rPr>
        <w:t xml:space="preserve"> é definido por:</w:t>
      </w:r>
    </w:p>
    <w:p w:rsidR="00000000" w:rsidDel="00000000" w:rsidP="00000000" w:rsidRDefault="00000000" w:rsidRPr="00000000" w14:paraId="00000046">
      <w:pPr>
        <w:spacing w:line="276" w:lineRule="auto"/>
        <w:rPr>
          <w:sz w:val="20"/>
          <w:szCs w:val="20"/>
        </w:rPr>
      </w:pPr>
      <w:r w:rsidDel="00000000" w:rsidR="00000000" w:rsidRPr="00000000">
        <w:rPr>
          <w:rtl w:val="0"/>
        </w:rPr>
      </w:r>
    </w:p>
    <w:tbl>
      <w:tblPr>
        <w:tblStyle w:val="Table3"/>
        <w:tblW w:w="9070.0" w:type="dxa"/>
        <w:jc w:val="left"/>
        <w:tblLayout w:type="fixed"/>
        <w:tblLook w:val="0600"/>
      </w:tblPr>
      <w:tblGrid>
        <w:gridCol w:w="4535"/>
        <w:gridCol w:w="4535"/>
        <w:tblGridChange w:id="0">
          <w:tblGrid>
            <w:gridCol w:w="4535"/>
            <w:gridCol w:w="4535"/>
          </w:tblGrid>
        </w:tblGridChange>
      </w:tblGrid>
      <w:tr>
        <w:trPr>
          <w:cantSplit w:val="0"/>
          <w:trHeight w:val="496.9467773437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        </w:t>
            </w:r>
            <m:oMath>
              <m:r>
                <w:rPr>
                  <w:sz w:val="20"/>
                  <w:szCs w:val="20"/>
                </w:rPr>
                <m:t xml:space="preserve">CATE(x;t,t´)=E[Y(t)-Y(t´)|X=x]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49">
      <w:pPr>
        <w:spacing w:line="276" w:lineRule="auto"/>
        <w:rPr>
          <w:sz w:val="20"/>
          <w:szCs w:val="20"/>
          <w:highlight w:val="white"/>
        </w:rPr>
      </w:pPr>
      <w:r w:rsidDel="00000000" w:rsidR="00000000" w:rsidRPr="00000000">
        <w:rPr>
          <w:sz w:val="20"/>
          <w:szCs w:val="20"/>
          <w:highlight w:val="white"/>
          <w:rtl w:val="0"/>
        </w:rPr>
        <w:t xml:space="preserve">O </w:t>
      </w:r>
      <m:oMath>
        <m:r>
          <w:rPr>
            <w:sz w:val="20"/>
            <w:szCs w:val="20"/>
            <w:highlight w:val="white"/>
          </w:rPr>
          <m:t xml:space="preserve">CATE</m:t>
        </m:r>
      </m:oMath>
      <w:r w:rsidDel="00000000" w:rsidR="00000000" w:rsidRPr="00000000">
        <w:rPr>
          <w:sz w:val="20"/>
          <w:szCs w:val="20"/>
          <w:highlight w:val="white"/>
          <w:rtl w:val="0"/>
        </w:rPr>
        <w:t xml:space="preserve"> é a formalização padrão dos efeitos heterogêneos de tratamento, pois captura como os efeitos da intervenção variam em função das covariáveis observadas </w:t>
      </w:r>
      <w:hyperlink r:id="rId26">
        <w:r w:rsidDel="00000000" w:rsidR="00000000" w:rsidRPr="00000000">
          <w:rPr>
            <w:sz w:val="20"/>
            <w:szCs w:val="20"/>
            <w:rtl w:val="0"/>
          </w:rPr>
          <w:t xml:space="preserve">(Zhang; Li; Liu, 2021)</w:t>
        </w:r>
      </w:hyperlink>
      <w:r w:rsidDel="00000000" w:rsidR="00000000" w:rsidRPr="00000000">
        <w:rPr>
          <w:sz w:val="20"/>
          <w:szCs w:val="20"/>
          <w:highlight w:val="white"/>
          <w:rtl w:val="0"/>
        </w:rPr>
        <w:t xml:space="preserve">. Dessa forma, o </w:t>
      </w:r>
      <m:oMath>
        <m:r>
          <w:rPr>
            <w:sz w:val="20"/>
            <w:szCs w:val="20"/>
            <w:highlight w:val="white"/>
          </w:rPr>
          <m:t xml:space="preserve">CATE</m:t>
        </m:r>
      </m:oMath>
      <w:r w:rsidDel="00000000" w:rsidR="00000000" w:rsidRPr="00000000">
        <w:rPr>
          <w:sz w:val="20"/>
          <w:szCs w:val="20"/>
          <w:highlight w:val="white"/>
          <w:rtl w:val="0"/>
        </w:rPr>
        <w:t xml:space="preserve"> constitui uma medida amplamente utilizada para avaliar o efeito do tratamento quando este difere entre distintos subgrupos da população </w:t>
      </w:r>
      <w:hyperlink r:id="rId27">
        <w:r w:rsidDel="00000000" w:rsidR="00000000" w:rsidRPr="00000000">
          <w:rPr>
            <w:sz w:val="20"/>
            <w:szCs w:val="20"/>
            <w:rtl w:val="0"/>
          </w:rPr>
          <w:t xml:space="preserve">(Yao et al., 2021)</w:t>
        </w:r>
      </w:hyperlink>
      <w:r w:rsidDel="00000000" w:rsidR="00000000" w:rsidRPr="00000000">
        <w:rPr>
          <w:sz w:val="20"/>
          <w:szCs w:val="20"/>
          <w:highlight w:val="white"/>
          <w:rtl w:val="0"/>
        </w:rPr>
        <w:t xml:space="preserve">.</w:t>
      </w:r>
    </w:p>
    <w:p w:rsidR="00000000" w:rsidDel="00000000" w:rsidP="00000000" w:rsidRDefault="00000000" w:rsidRPr="00000000" w14:paraId="0000004A">
      <w:pPr>
        <w:spacing w:line="276" w:lineRule="auto"/>
        <w:jc w:val="left"/>
        <w:rPr>
          <w:sz w:val="20"/>
          <w:szCs w:val="20"/>
        </w:rPr>
      </w:pPr>
      <w:r w:rsidDel="00000000" w:rsidR="00000000" w:rsidRPr="00000000">
        <w:rPr>
          <w:rtl w:val="0"/>
        </w:rPr>
      </w:r>
    </w:p>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No contexto aplicado, especialmente em marketing, o efeito incremental esperado de um tratamento em relação a uma alternativa, condicionado às características observadas, é frequentemente denominado </w:t>
      </w:r>
      <m:oMath>
        <m:r>
          <w:rPr>
            <w:sz w:val="20"/>
            <w:szCs w:val="20"/>
          </w:rPr>
          <m:t xml:space="preserve">Uplift</m:t>
        </m:r>
      </m:oMath>
      <w:r w:rsidDel="00000000" w:rsidR="00000000" w:rsidRPr="00000000">
        <w:rPr>
          <w:sz w:val="20"/>
          <w:szCs w:val="20"/>
          <w:rtl w:val="0"/>
        </w:rPr>
        <w:t xml:space="preserve">, sendo dado por: </w:t>
      </w:r>
    </w:p>
    <w:p w:rsidR="00000000" w:rsidDel="00000000" w:rsidP="00000000" w:rsidRDefault="00000000" w:rsidRPr="00000000" w14:paraId="0000004C">
      <w:pPr>
        <w:spacing w:line="276" w:lineRule="auto"/>
        <w:rPr>
          <w:sz w:val="20"/>
          <w:szCs w:val="20"/>
        </w:rPr>
      </w:pPr>
      <w:r w:rsidDel="00000000" w:rsidR="00000000" w:rsidRPr="00000000">
        <w:rPr>
          <w:rtl w:val="0"/>
        </w:rPr>
      </w:r>
    </w:p>
    <w:tbl>
      <w:tblPr>
        <w:tblStyle w:val="Table4"/>
        <w:tblW w:w="9030.0" w:type="dxa"/>
        <w:jc w:val="left"/>
        <w:tblLayout w:type="fixed"/>
        <w:tblLook w:val="0600"/>
      </w:tblPr>
      <w:tblGrid>
        <w:gridCol w:w="5835"/>
        <w:gridCol w:w="3195"/>
        <w:tblGridChange w:id="0">
          <w:tblGrid>
            <w:gridCol w:w="583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jc w:val="center"/>
              <w:rPr>
                <w:sz w:val="20"/>
                <w:szCs w:val="20"/>
              </w:rPr>
            </w:pPr>
            <m:oMath>
              <m:r>
                <w:rPr>
                  <w:sz w:val="20"/>
                  <w:szCs w:val="20"/>
                </w:rPr>
                <m:t xml:space="preserve">  Uplift(x;t,t´)=E[Y|T=t,X=x]-E[Y|T=t´,X=x]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04F">
      <w:pPr>
        <w:spacing w:after="240" w:before="240" w:line="276" w:lineRule="auto"/>
        <w:rPr>
          <w:sz w:val="20"/>
          <w:szCs w:val="20"/>
        </w:rPr>
      </w:pPr>
      <w:r w:rsidDel="00000000" w:rsidR="00000000" w:rsidRPr="00000000">
        <w:rPr>
          <w:sz w:val="20"/>
          <w:szCs w:val="20"/>
          <w:rtl w:val="0"/>
        </w:rPr>
        <w:t xml:space="preserve">Vale ressaltar que, quando as suposições usuais da inferência causal — sobreposição, Valor de Tratamento Unitário Estável (SUTV) e ignorabilidade — são satisfeitas, as Equações (3) e (4) tornam-se equivalentes </w:t>
      </w:r>
      <w:hyperlink r:id="rId28">
        <w:r w:rsidDel="00000000" w:rsidR="00000000" w:rsidRPr="00000000">
          <w:rPr>
            <w:sz w:val="20"/>
            <w:szCs w:val="20"/>
            <w:rtl w:val="0"/>
          </w:rPr>
          <w:t xml:space="preserve">(Zhang; Li; Liu, 2021)</w:t>
        </w:r>
      </w:hyperlink>
      <w:r w:rsidDel="00000000" w:rsidR="00000000" w:rsidRPr="00000000">
        <w:rPr>
          <w:sz w:val="20"/>
          <w:szCs w:val="20"/>
          <w:rtl w:val="0"/>
        </w:rPr>
        <w:t xml:space="preserve">.</w:t>
      </w:r>
    </w:p>
    <w:p w:rsidR="00000000" w:rsidDel="00000000" w:rsidP="00000000" w:rsidRDefault="00000000" w:rsidRPr="00000000" w14:paraId="00000050">
      <w:pPr>
        <w:spacing w:after="240" w:before="240" w:line="276" w:lineRule="auto"/>
        <w:rPr>
          <w:sz w:val="20"/>
          <w:szCs w:val="20"/>
        </w:rPr>
      </w:pPr>
      <w:r w:rsidDel="00000000" w:rsidR="00000000" w:rsidRPr="00000000">
        <w:rPr>
          <w:sz w:val="20"/>
          <w:szCs w:val="20"/>
          <w:rtl w:val="0"/>
        </w:rPr>
        <w:t xml:space="preserve">A estimação dos efeitos heterogêneos de tratamento constitui uma importante tarefa na modelagem de efeitos causais, uma vez que permite investigar como o efeito de uma intervenção varia em função das características dos indivíduos. Diferentes métodos têm sido desenvolvidos para a estimação do CATE, incluindo abordagens baseadas em modelos de aprendizado supervisionado e métodos especificamente desenvolvidos para a modelagem da heterogeneidade dos efeitos de tratamento e para modelagem de uplift </w:t>
      </w:r>
      <w:hyperlink r:id="rId29">
        <w:r w:rsidDel="00000000" w:rsidR="00000000" w:rsidRPr="00000000">
          <w:rPr>
            <w:sz w:val="20"/>
            <w:szCs w:val="20"/>
            <w:rtl w:val="0"/>
          </w:rPr>
          <w:t xml:space="preserve">(Zhang; Li; Liu, 2021)</w:t>
        </w:r>
      </w:hyperlink>
      <w:r w:rsidDel="00000000" w:rsidR="00000000" w:rsidRPr="00000000">
        <w:rPr>
          <w:sz w:val="20"/>
          <w:szCs w:val="20"/>
          <w:rtl w:val="0"/>
        </w:rPr>
        <w:t xml:space="preserve">. Neste trabalho, essa estimação é realizada por meio do Unified Discriminative Causal Forest (UDCF), tendo os meta-learners S-learner, T-learner e X-learner como métodos de comparação. A descrição do método UDCF é apresentada na Seção 3.2.</w:t>
      </w:r>
    </w:p>
    <w:p w:rsidR="00000000" w:rsidDel="00000000" w:rsidP="00000000" w:rsidRDefault="00000000" w:rsidRPr="00000000" w14:paraId="00000051">
      <w:pPr>
        <w:spacing w:after="240" w:before="240" w:line="276"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sz w:val="20"/>
          <w:szCs w:val="20"/>
          <w:rtl w:val="0"/>
        </w:rPr>
        <w:t xml:space="preserve"> Material e Métodos</w:t>
      </w:r>
    </w:p>
    <w:p w:rsidR="00000000" w:rsidDel="00000000" w:rsidP="00000000" w:rsidRDefault="00000000" w:rsidRPr="00000000" w14:paraId="00000052">
      <w:pPr>
        <w:keepNext w:val="0"/>
        <w:keepLines w:val="0"/>
        <w:spacing w:line="240" w:lineRule="auto"/>
        <w:jc w:val="left"/>
        <w:rPr>
          <w:b w:val="1"/>
          <w:bCs w:val="1"/>
          <w:sz w:val="20"/>
          <w:szCs w:val="20"/>
        </w:rPr>
      </w:pPr>
      <w:r w:rsidDel="00000000" w:rsidR="00000000" w:rsidRPr="00000000">
        <w:rPr>
          <w:b w:val="1"/>
          <w:bCs w:val="1"/>
          <w:sz w:val="20"/>
          <w:szCs w:val="20"/>
          <w:rtl w:val="0"/>
        </w:rPr>
        <w:t xml:space="preserve">3.1 Base de dados</w:t>
      </w:r>
    </w:p>
    <w:p w:rsidR="00000000" w:rsidDel="00000000" w:rsidP="00000000" w:rsidRDefault="00000000" w:rsidRPr="00000000" w14:paraId="00000053">
      <w:pPr>
        <w:keepNext w:val="0"/>
        <w:keepLines w:val="0"/>
        <w:spacing w:line="240" w:lineRule="auto"/>
        <w:jc w:val="left"/>
        <w:rPr>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spacing w:line="240" w:lineRule="auto"/>
        <w:rPr>
          <w:sz w:val="20"/>
          <w:szCs w:val="20"/>
        </w:rPr>
      </w:pPr>
      <w:r w:rsidDel="00000000" w:rsidR="00000000" w:rsidRPr="00000000">
        <w:rPr>
          <w:sz w:val="20"/>
          <w:szCs w:val="20"/>
          <w:rtl w:val="0"/>
        </w:rPr>
        <w:t xml:space="preserve">Neste trabalho utilizamos</w:t>
      </w:r>
      <w:r w:rsidDel="00000000" w:rsidR="00000000" w:rsidRPr="00000000">
        <w:rPr>
          <w:sz w:val="20"/>
          <w:szCs w:val="20"/>
          <w:rtl w:val="0"/>
        </w:rPr>
        <w:t xml:space="preserve"> a base de dados pública Hillstrom </w:t>
      </w:r>
      <w:hyperlink r:id="rId30">
        <w:r w:rsidDel="00000000" w:rsidR="00000000" w:rsidRPr="00000000">
          <w:rPr>
            <w:sz w:val="20"/>
            <w:szCs w:val="20"/>
            <w:rtl w:val="0"/>
          </w:rPr>
          <w:t xml:space="preserve">(“The MineThatData E-Mail Analytics And Data Mining Challenge”)</w:t>
        </w:r>
      </w:hyperlink>
      <w:r w:rsidDel="00000000" w:rsidR="00000000" w:rsidRPr="00000000">
        <w:rPr>
          <w:sz w:val="20"/>
          <w:szCs w:val="20"/>
          <w:rtl w:val="0"/>
        </w:rPr>
        <w:t xml:space="preserve">, amplamente utilizada na literatura de modelagem de uplift e marketing direcionado. A base contém 64.000 observações de um experimento randomizado de campanhas de e-mail, com 12 variáveis e sem valores faltantes. Para facilitar a leitura, as variáveis foram renomeadas em português ao longo do trabalho. A Tabela 1 apresenta a correspondência com os nomes originais da base, que foram mantidos no código para preservar a reprodutibilidade, o tipo de cada variável e sua descrição.</w:t>
      </w:r>
    </w:p>
    <w:p w:rsidR="00000000" w:rsidDel="00000000" w:rsidP="00000000" w:rsidRDefault="00000000" w:rsidRPr="00000000" w14:paraId="00000055">
      <w:pPr>
        <w:spacing w:after="160" w:before="120" w:line="240" w:lineRule="auto"/>
        <w:jc w:val="center"/>
        <w:rPr>
          <w:sz w:val="20"/>
          <w:szCs w:val="20"/>
        </w:rPr>
      </w:pPr>
      <w:r w:rsidDel="00000000" w:rsidR="00000000" w:rsidRPr="00000000">
        <w:rPr>
          <w:sz w:val="20"/>
          <w:szCs w:val="20"/>
          <w:rtl w:val="0"/>
        </w:rPr>
        <w:t xml:space="preserve">Tabela 1: Correspondência entre os nomes originais da base Hillstrom e a nomenclatura adotada neste trabalho.</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95"/>
        <w:gridCol w:w="1965"/>
        <w:gridCol w:w="3555"/>
        <w:tblGridChange w:id="0">
          <w:tblGrid>
            <w:gridCol w:w="1830"/>
            <w:gridCol w:w="1695"/>
            <w:gridCol w:w="1965"/>
            <w:gridCol w:w="355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eeeeee" w:val="clear"/>
            <w:tcMar>
              <w:top w:w="60.0" w:type="dxa"/>
              <w:left w:w="100.0" w:type="dxa"/>
              <w:bottom w:w="60.0" w:type="dxa"/>
              <w:right w:w="10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Nome original</w:t>
            </w:r>
          </w:p>
        </w:tc>
        <w:tc>
          <w:tcPr>
            <w:tcBorders>
              <w:top w:color="000000" w:space="0" w:sz="6" w:val="single"/>
              <w:left w:color="000000" w:space="0" w:sz="0" w:val="nil"/>
              <w:bottom w:color="000000" w:space="0" w:sz="6" w:val="single"/>
              <w:right w:color="000000" w:space="0" w:sz="6" w:val="single"/>
            </w:tcBorders>
            <w:shd w:fill="eeeeee" w:val="clear"/>
            <w:tcMar>
              <w:top w:w="60.0" w:type="dxa"/>
              <w:left w:w="100.0" w:type="dxa"/>
              <w:bottom w:w="60.0" w:type="dxa"/>
              <w:right w:w="10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Nome neste trabalho</w:t>
            </w:r>
          </w:p>
        </w:tc>
        <w:tc>
          <w:tcPr>
            <w:tcBorders>
              <w:top w:color="000000" w:space="0" w:sz="6" w:val="single"/>
              <w:left w:color="000000" w:space="0" w:sz="0" w:val="nil"/>
              <w:bottom w:color="000000" w:space="0" w:sz="6" w:val="single"/>
              <w:right w:color="000000" w:space="0" w:sz="6" w:val="single"/>
            </w:tcBorders>
            <w:shd w:fill="eeeeee" w:val="clear"/>
            <w:tcMar>
              <w:top w:w="60.0" w:type="dxa"/>
              <w:left w:w="100.0" w:type="dxa"/>
              <w:bottom w:w="60.0" w:type="dxa"/>
              <w:right w:w="10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Tipo</w:t>
            </w:r>
          </w:p>
        </w:tc>
        <w:tc>
          <w:tcPr>
            <w:tcBorders>
              <w:top w:color="000000" w:space="0" w:sz="6" w:val="single"/>
              <w:left w:color="000000" w:space="0" w:sz="0" w:val="nil"/>
              <w:bottom w:color="000000" w:space="0" w:sz="6" w:val="single"/>
              <w:right w:color="000000" w:space="0" w:sz="6" w:val="single"/>
            </w:tcBorders>
            <w:shd w:fill="eeeeee" w:val="clear"/>
            <w:tcMar>
              <w:top w:w="60.0" w:type="dxa"/>
              <w:left w:w="100.0" w:type="dxa"/>
              <w:bottom w:w="60.0" w:type="dxa"/>
              <w:right w:w="10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Descrição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A">
            <w:pPr>
              <w:spacing w:line="240" w:lineRule="auto"/>
              <w:rPr>
                <w:i w:val="1"/>
                <w:iCs w:val="1"/>
                <w:sz w:val="20"/>
                <w:szCs w:val="20"/>
              </w:rPr>
            </w:pPr>
            <w:r w:rsidDel="00000000" w:rsidR="00000000" w:rsidRPr="00000000">
              <w:rPr>
                <w:i w:val="1"/>
                <w:iCs w:val="1"/>
                <w:sz w:val="20"/>
                <w:szCs w:val="20"/>
                <w:rtl w:val="0"/>
              </w:rPr>
              <w:t xml:space="preserve">recency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recência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Numérica (covariável)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Número de meses desde a última compra do cliente.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E">
            <w:pPr>
              <w:spacing w:line="240" w:lineRule="auto"/>
              <w:rPr>
                <w:i w:val="1"/>
                <w:iCs w:val="1"/>
                <w:sz w:val="20"/>
                <w:szCs w:val="20"/>
              </w:rPr>
            </w:pPr>
            <w:r w:rsidDel="00000000" w:rsidR="00000000" w:rsidRPr="00000000">
              <w:rPr>
                <w:i w:val="1"/>
                <w:iCs w:val="1"/>
                <w:sz w:val="20"/>
                <w:szCs w:val="20"/>
                <w:rtl w:val="0"/>
              </w:rPr>
              <w:t xml:space="preserve">history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gasto histórico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Numérica (covariável)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Valor total gasto pelo cliente no último ano.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2">
            <w:pPr>
              <w:spacing w:line="240" w:lineRule="auto"/>
              <w:rPr>
                <w:i w:val="1"/>
                <w:iCs w:val="1"/>
                <w:sz w:val="20"/>
                <w:szCs w:val="20"/>
              </w:rPr>
            </w:pPr>
            <w:r w:rsidDel="00000000" w:rsidR="00000000" w:rsidRPr="00000000">
              <w:rPr>
                <w:i w:val="1"/>
                <w:iCs w:val="1"/>
                <w:sz w:val="20"/>
                <w:szCs w:val="20"/>
                <w:rtl w:val="0"/>
              </w:rPr>
              <w:t xml:space="preserve">mens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compra masculina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Categórica nominal</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Indica se o cliente comprou produtos masculinos no último ano.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7">
            <w:pPr>
              <w:spacing w:line="240" w:lineRule="auto"/>
              <w:rPr>
                <w:i w:val="1"/>
                <w:iCs w:val="1"/>
                <w:sz w:val="20"/>
                <w:szCs w:val="20"/>
              </w:rPr>
            </w:pPr>
            <w:r w:rsidDel="00000000" w:rsidR="00000000" w:rsidRPr="00000000">
              <w:rPr>
                <w:i w:val="1"/>
                <w:iCs w:val="1"/>
                <w:sz w:val="20"/>
                <w:szCs w:val="20"/>
                <w:rtl w:val="0"/>
              </w:rPr>
              <w:t xml:space="preserve">womens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compra feminina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Categórica nominal (covariável)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Indica se o cliente comprou produtos femininos no último ano.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B">
            <w:pPr>
              <w:spacing w:line="240" w:lineRule="auto"/>
              <w:rPr>
                <w:i w:val="1"/>
                <w:iCs w:val="1"/>
                <w:sz w:val="20"/>
                <w:szCs w:val="20"/>
              </w:rPr>
            </w:pPr>
            <w:r w:rsidDel="00000000" w:rsidR="00000000" w:rsidRPr="00000000">
              <w:rPr>
                <w:i w:val="1"/>
                <w:iCs w:val="1"/>
                <w:sz w:val="20"/>
                <w:szCs w:val="20"/>
                <w:rtl w:val="0"/>
              </w:rPr>
              <w:t xml:space="preserve">newbie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cliente novo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Categórica nominal (covariável)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Indica se o cliente foi cadastrado nos últimos doze meses.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F">
            <w:pPr>
              <w:spacing w:line="240" w:lineRule="auto"/>
              <w:rPr>
                <w:i w:val="1"/>
                <w:iCs w:val="1"/>
                <w:sz w:val="20"/>
                <w:szCs w:val="20"/>
              </w:rPr>
            </w:pPr>
            <w:r w:rsidDel="00000000" w:rsidR="00000000" w:rsidRPr="00000000">
              <w:rPr>
                <w:i w:val="1"/>
                <w:iCs w:val="1"/>
                <w:sz w:val="20"/>
                <w:szCs w:val="20"/>
                <w:rtl w:val="0"/>
              </w:rPr>
              <w:t xml:space="preserve">zip_code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tipo de região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Categórica nominal</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Classificação da região de residência: urbana, suburbana ou rural.</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4">
            <w:pPr>
              <w:spacing w:line="240" w:lineRule="auto"/>
              <w:rPr>
                <w:i w:val="1"/>
                <w:iCs w:val="1"/>
                <w:sz w:val="20"/>
                <w:szCs w:val="20"/>
              </w:rPr>
            </w:pPr>
            <w:r w:rsidDel="00000000" w:rsidR="00000000" w:rsidRPr="00000000">
              <w:rPr>
                <w:i w:val="1"/>
                <w:iCs w:val="1"/>
                <w:sz w:val="20"/>
                <w:szCs w:val="20"/>
                <w:rtl w:val="0"/>
              </w:rPr>
              <w:t xml:space="preserve">channel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canal de compra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Categórica nominal</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Canais pelos quais o cliente comprou no último ano: telefone, web ou ambos.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9">
            <w:pPr>
              <w:spacing w:line="240" w:lineRule="auto"/>
              <w:rPr>
                <w:i w:val="1"/>
                <w:iCs w:val="1"/>
                <w:sz w:val="20"/>
                <w:szCs w:val="20"/>
              </w:rPr>
            </w:pPr>
            <w:r w:rsidDel="00000000" w:rsidR="00000000" w:rsidRPr="00000000">
              <w:rPr>
                <w:i w:val="1"/>
                <w:iCs w:val="1"/>
                <w:sz w:val="20"/>
                <w:szCs w:val="20"/>
                <w:rtl w:val="0"/>
              </w:rPr>
              <w:t xml:space="preserve">history_segment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faixa de gasto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Categórica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ordinal</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(candidata a covariável)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Discretização do gasto histórico em intervalos de valor. Não utilizada neste estudo.</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F">
            <w:pPr>
              <w:spacing w:line="240" w:lineRule="auto"/>
              <w:rPr>
                <w:i w:val="1"/>
                <w:iCs w:val="1"/>
                <w:sz w:val="20"/>
                <w:szCs w:val="20"/>
              </w:rPr>
            </w:pPr>
            <w:r w:rsidDel="00000000" w:rsidR="00000000" w:rsidRPr="00000000">
              <w:rPr>
                <w:i w:val="1"/>
                <w:iCs w:val="1"/>
                <w:sz w:val="20"/>
                <w:szCs w:val="20"/>
                <w:rtl w:val="0"/>
              </w:rPr>
              <w:t xml:space="preserve">segment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campanha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Categórica nominal (tratamento)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Campanha recebida pelo cliente: e-mail masculino, e-mail feminino ou nenhum e-mail.</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line="240" w:lineRule="auto"/>
              <w:rPr>
                <w:i w:val="1"/>
                <w:iCs w:val="1"/>
                <w:sz w:val="20"/>
                <w:szCs w:val="20"/>
              </w:rPr>
            </w:pPr>
            <w:r w:rsidDel="00000000" w:rsidR="00000000" w:rsidRPr="00000000">
              <w:rPr>
                <w:i w:val="1"/>
                <w:iCs w:val="1"/>
                <w:sz w:val="20"/>
                <w:szCs w:val="20"/>
                <w:rtl w:val="0"/>
              </w:rPr>
              <w:t xml:space="preserve">conversion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conversão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Categórica nominal (desfecho)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Indica se o cliente realizou uma compra nas duas semanas seguintes ao envio.</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spacing w:line="240" w:lineRule="auto"/>
              <w:rPr>
                <w:i w:val="1"/>
                <w:iCs w:val="1"/>
                <w:sz w:val="20"/>
                <w:szCs w:val="20"/>
              </w:rPr>
            </w:pPr>
            <w:r w:rsidDel="00000000" w:rsidR="00000000" w:rsidRPr="00000000">
              <w:rPr>
                <w:i w:val="1"/>
                <w:iCs w:val="1"/>
                <w:sz w:val="20"/>
                <w:szCs w:val="20"/>
                <w:rtl w:val="0"/>
              </w:rPr>
              <w:t xml:space="preserve">visit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visita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Categórica nominal</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(candidata a desfecho)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Indica se o cliente visitou o website nas duas semanas seguintes ao envio. Não utilizada neste estudo.</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spacing w:line="240" w:lineRule="auto"/>
              <w:rPr>
                <w:i w:val="1"/>
                <w:iCs w:val="1"/>
                <w:sz w:val="20"/>
                <w:szCs w:val="20"/>
              </w:rPr>
            </w:pPr>
            <w:r w:rsidDel="00000000" w:rsidR="00000000" w:rsidRPr="00000000">
              <w:rPr>
                <w:i w:val="1"/>
                <w:iCs w:val="1"/>
                <w:sz w:val="20"/>
                <w:szCs w:val="20"/>
                <w:rtl w:val="0"/>
              </w:rPr>
              <w:t xml:space="preserve">spend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valor gasto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Numérica</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(candidata a desfecho)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Valor gasto pelo cliente nas duas semanas seguintes ao envio. Não utilizado neste estudo.</w:t>
            </w:r>
          </w:p>
        </w:tc>
      </w:tr>
    </w:tbl>
    <w:p w:rsidR="00000000" w:rsidDel="00000000" w:rsidP="00000000" w:rsidRDefault="00000000" w:rsidRPr="00000000" w14:paraId="00000091">
      <w:pPr>
        <w:spacing w:after="280" w:before="160" w:line="240" w:lineRule="auto"/>
        <w:jc w:val="left"/>
        <w:rPr>
          <w:sz w:val="20"/>
          <w:szCs w:val="20"/>
        </w:rPr>
      </w:pPr>
      <w:r w:rsidDel="00000000" w:rsidR="00000000" w:rsidRPr="00000000">
        <w:rPr>
          <w:sz w:val="20"/>
          <w:szCs w:val="20"/>
          <w:rtl w:val="0"/>
        </w:rPr>
        <w:t xml:space="preserve">Fonte: elaboração própria, a partir da base original Hillstrom.</w:t>
      </w:r>
    </w:p>
    <w:p w:rsidR="00000000" w:rsidDel="00000000" w:rsidP="00000000" w:rsidRDefault="00000000" w:rsidRPr="00000000" w14:paraId="00000092">
      <w:pPr>
        <w:spacing w:after="160" w:lineRule="auto"/>
        <w:rPr>
          <w:sz w:val="20"/>
          <w:szCs w:val="20"/>
        </w:rPr>
      </w:pPr>
      <w:r w:rsidDel="00000000" w:rsidR="00000000" w:rsidRPr="00000000">
        <w:rPr>
          <w:sz w:val="20"/>
          <w:szCs w:val="20"/>
          <w:rtl w:val="0"/>
        </w:rPr>
        <w:t xml:space="preserve">Os elementos causais considerados neste estudo são definidos da seguinte forma:</w:t>
      </w:r>
    </w:p>
    <w:p w:rsidR="00000000" w:rsidDel="00000000" w:rsidP="00000000" w:rsidRDefault="00000000" w:rsidRPr="00000000" w14:paraId="00000093">
      <w:pPr>
        <w:spacing w:after="140" w:lineRule="auto"/>
        <w:ind w:left="108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tab/>
      </w:r>
      <w:r w:rsidDel="00000000" w:rsidR="00000000" w:rsidRPr="00000000">
        <w:rPr>
          <w:b w:val="1"/>
          <w:bCs w:val="1"/>
          <w:sz w:val="20"/>
          <w:szCs w:val="20"/>
          <w:rtl w:val="0"/>
        </w:rPr>
        <w:t xml:space="preserve">Unidade experimental: </w:t>
      </w:r>
      <w:r w:rsidDel="00000000" w:rsidR="00000000" w:rsidRPr="00000000">
        <w:rPr>
          <w:sz w:val="20"/>
          <w:szCs w:val="20"/>
          <w:rtl w:val="0"/>
        </w:rPr>
        <w:t xml:space="preserve">o cliente individual.</w:t>
      </w:r>
    </w:p>
    <w:p w:rsidR="00000000" w:rsidDel="00000000" w:rsidP="00000000" w:rsidRDefault="00000000" w:rsidRPr="00000000" w14:paraId="00000094">
      <w:pPr>
        <w:spacing w:after="140" w:lineRule="auto"/>
        <w:ind w:left="108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tab/>
      </w:r>
      <w:r w:rsidDel="00000000" w:rsidR="00000000" w:rsidRPr="00000000">
        <w:rPr>
          <w:b w:val="1"/>
          <w:bCs w:val="1"/>
          <w:sz w:val="20"/>
          <w:szCs w:val="20"/>
          <w:rtl w:val="0"/>
        </w:rPr>
        <w:t xml:space="preserve">Tratamento (T): </w:t>
      </w:r>
      <w:r w:rsidDel="00000000" w:rsidR="00000000" w:rsidRPr="00000000">
        <w:rPr>
          <w:sz w:val="20"/>
          <w:szCs w:val="20"/>
          <w:rtl w:val="0"/>
        </w:rPr>
        <w:t xml:space="preserve">a campanha recebida pelo cliente, com três níveis observados na base, e-mail promovendo produtos masculinos, e-mail promovendo produtos femininos e nenhum e-mail, este último adotado como grupo controle.</w:t>
      </w:r>
    </w:p>
    <w:p w:rsidR="00000000" w:rsidDel="00000000" w:rsidP="00000000" w:rsidRDefault="00000000" w:rsidRPr="00000000" w14:paraId="00000095">
      <w:pPr>
        <w:spacing w:after="140" w:lineRule="auto"/>
        <w:ind w:left="108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tab/>
      </w:r>
      <w:r w:rsidDel="00000000" w:rsidR="00000000" w:rsidRPr="00000000">
        <w:rPr>
          <w:b w:val="1"/>
          <w:bCs w:val="1"/>
          <w:sz w:val="20"/>
          <w:szCs w:val="20"/>
          <w:rtl w:val="0"/>
        </w:rPr>
        <w:t xml:space="preserve">Desfecho (Y): </w:t>
      </w:r>
      <w:r w:rsidDel="00000000" w:rsidR="00000000" w:rsidRPr="00000000">
        <w:rPr>
          <w:sz w:val="20"/>
          <w:szCs w:val="20"/>
          <w:rtl w:val="0"/>
        </w:rPr>
        <w:t xml:space="preserve">a conversão foi adotada como variável de desfecho principal, que indica se o cliente realizou uma compra após a campanha. A visita ao website é utilizada em análises complementares de engajamento.</w:t>
      </w:r>
    </w:p>
    <w:p w:rsidR="00000000" w:rsidDel="00000000" w:rsidP="00000000" w:rsidRDefault="00000000" w:rsidRPr="00000000" w14:paraId="00000096">
      <w:pPr>
        <w:spacing w:after="140" w:lineRule="auto"/>
        <w:ind w:left="108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tab/>
      </w:r>
      <w:r w:rsidDel="00000000" w:rsidR="00000000" w:rsidRPr="00000000">
        <w:rPr>
          <w:b w:val="1"/>
          <w:bCs w:val="1"/>
          <w:sz w:val="20"/>
          <w:szCs w:val="20"/>
          <w:rtl w:val="0"/>
        </w:rPr>
        <w:t xml:space="preserve">Covariáveis (X): </w:t>
      </w:r>
      <w:r w:rsidDel="00000000" w:rsidR="00000000" w:rsidRPr="00000000">
        <w:rPr>
          <w:sz w:val="20"/>
          <w:szCs w:val="20"/>
          <w:rtl w:val="0"/>
        </w:rPr>
        <w:t xml:space="preserve">foram utilizadas sete variáveis como atributos preditores na estimação dos efeitos heterogêneos de tratamento. A variável faixa de gasto histórico foi descartada por ser uma discretização do gasto histórico, já incluído em sua forma contínua.</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A Tabela 2 apresenta as 5 primeiras observações da base Hillstrom contendo apenas as variáveis consideradas neste estudo.</w:t>
      </w:r>
      <w:r w:rsidDel="00000000" w:rsidR="00000000" w:rsidRPr="00000000">
        <w:rPr>
          <w:rtl w:val="0"/>
        </w:rPr>
      </w:r>
    </w:p>
    <w:p w:rsidR="00000000" w:rsidDel="00000000" w:rsidP="00000000" w:rsidRDefault="00000000" w:rsidRPr="00000000" w14:paraId="00000098">
      <w:pPr>
        <w:spacing w:after="160" w:before="120" w:line="240" w:lineRule="auto"/>
        <w:jc w:val="center"/>
        <w:rPr>
          <w:sz w:val="20"/>
          <w:szCs w:val="20"/>
        </w:rPr>
      </w:pPr>
      <w:r w:rsidDel="00000000" w:rsidR="00000000" w:rsidRPr="00000000">
        <w:rPr>
          <w:sz w:val="20"/>
          <w:szCs w:val="20"/>
          <w:rtl w:val="0"/>
        </w:rPr>
        <w:t xml:space="preserve">Tabela 2:</w:t>
      </w:r>
      <w:r w:rsidDel="00000000" w:rsidR="00000000" w:rsidRPr="00000000">
        <w:rPr>
          <w:i w:val="1"/>
          <w:iCs w:val="1"/>
          <w:sz w:val="20"/>
          <w:szCs w:val="20"/>
          <w:rtl w:val="0"/>
        </w:rPr>
        <w:t xml:space="preserve"> </w:t>
      </w:r>
      <w:r w:rsidDel="00000000" w:rsidR="00000000" w:rsidRPr="00000000">
        <w:rPr>
          <w:sz w:val="20"/>
          <w:szCs w:val="20"/>
          <w:rtl w:val="0"/>
        </w:rPr>
        <w:t xml:space="preserve">Primeiras linhas de observações da base Hillstrom consideradas no estudo.</w:t>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870"/>
        <w:gridCol w:w="900"/>
        <w:gridCol w:w="1065"/>
        <w:gridCol w:w="930"/>
        <w:gridCol w:w="720"/>
        <w:gridCol w:w="990"/>
        <w:gridCol w:w="795"/>
        <w:gridCol w:w="1125"/>
        <w:gridCol w:w="1110"/>
        <w:tblGridChange w:id="0">
          <w:tblGrid>
            <w:gridCol w:w="240"/>
            <w:gridCol w:w="870"/>
            <w:gridCol w:w="900"/>
            <w:gridCol w:w="1065"/>
            <w:gridCol w:w="930"/>
            <w:gridCol w:w="720"/>
            <w:gridCol w:w="990"/>
            <w:gridCol w:w="795"/>
            <w:gridCol w:w="1125"/>
            <w:gridCol w:w="111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i</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recência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gasto histórico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compra masculina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compra feminina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cliente novo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tipo de região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canal de compra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campanha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conversão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142.44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Surburban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Womens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329.08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No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180.65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Surburban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Womens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675.83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0</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45.34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Womens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D5">
      <w:pPr>
        <w:spacing w:after="200" w:line="360" w:lineRule="auto"/>
        <w:jc w:val="left"/>
        <w:rPr>
          <w:sz w:val="20"/>
          <w:szCs w:val="20"/>
        </w:rPr>
      </w:pPr>
      <w:r w:rsidDel="00000000" w:rsidR="00000000" w:rsidRPr="00000000">
        <w:rPr>
          <w:sz w:val="20"/>
          <w:szCs w:val="20"/>
          <w:rtl w:val="0"/>
        </w:rPr>
        <w:t xml:space="preserve">Fonte: elaboração própria, a partir da base original Hillstrom.</w:t>
      </w: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b w:val="1"/>
          <w:bCs w:val="1"/>
          <w:sz w:val="20"/>
          <w:szCs w:val="20"/>
          <w:rtl w:val="0"/>
        </w:rPr>
        <w:t xml:space="preserve">3.2 Métodos avaliados</w:t>
      </w:r>
      <w:r w:rsidDel="00000000" w:rsidR="00000000" w:rsidRPr="00000000">
        <w:rPr>
          <w:rtl w:val="0"/>
        </w:rPr>
      </w:r>
    </w:p>
    <w:p w:rsidR="00000000" w:rsidDel="00000000" w:rsidP="00000000" w:rsidRDefault="00000000" w:rsidRPr="00000000" w14:paraId="000000D7">
      <w:pPr>
        <w:spacing w:after="240" w:before="240" w:line="240" w:lineRule="auto"/>
        <w:rPr>
          <w:sz w:val="20"/>
          <w:szCs w:val="20"/>
        </w:rPr>
      </w:pPr>
      <w:r w:rsidDel="00000000" w:rsidR="00000000" w:rsidRPr="00000000">
        <w:rPr>
          <w:sz w:val="20"/>
          <w:szCs w:val="20"/>
          <w:rtl w:val="0"/>
        </w:rPr>
        <w:t xml:space="preserve">O método principal aplicado neste estudo é o </w:t>
      </w:r>
      <w:r w:rsidDel="00000000" w:rsidR="00000000" w:rsidRPr="00000000">
        <w:rPr>
          <w:i w:val="1"/>
          <w:iCs w:val="1"/>
          <w:sz w:val="20"/>
          <w:szCs w:val="20"/>
          <w:rtl w:val="0"/>
        </w:rPr>
        <w:t xml:space="preserve">Unified Discriminative Causal Forest</w:t>
      </w:r>
      <w:r w:rsidDel="00000000" w:rsidR="00000000" w:rsidRPr="00000000">
        <w:rPr>
          <w:sz w:val="20"/>
          <w:szCs w:val="20"/>
          <w:rtl w:val="0"/>
        </w:rPr>
        <w:t xml:space="preserve"> (UDCF), proposto por </w:t>
      </w:r>
      <w:hyperlink r:id="rId31">
        <w:r w:rsidDel="00000000" w:rsidR="00000000" w:rsidRPr="00000000">
          <w:rPr>
            <w:sz w:val="20"/>
            <w:szCs w:val="20"/>
            <w:rtl w:val="0"/>
          </w:rPr>
          <w:t xml:space="preserve">Ai et al., 2022</w:t>
        </w:r>
      </w:hyperlink>
      <w:r w:rsidDel="00000000" w:rsidR="00000000" w:rsidRPr="00000000">
        <w:rPr>
          <w:sz w:val="20"/>
          <w:szCs w:val="20"/>
          <w:rtl w:val="0"/>
        </w:rPr>
        <w:t xml:space="preserve"> como componente de estimação de efeitos do framework </w:t>
      </w:r>
      <w:r w:rsidDel="00000000" w:rsidR="00000000" w:rsidRPr="00000000">
        <w:rPr>
          <w:i w:val="1"/>
          <w:iCs w:val="1"/>
          <w:sz w:val="20"/>
          <w:szCs w:val="20"/>
          <w:rtl w:val="0"/>
        </w:rPr>
        <w:t xml:space="preserve">Large-Scale Budget-Constrained Causal Forest</w:t>
      </w:r>
      <w:r w:rsidDel="00000000" w:rsidR="00000000" w:rsidRPr="00000000">
        <w:rPr>
          <w:sz w:val="20"/>
          <w:szCs w:val="20"/>
          <w:rtl w:val="0"/>
        </w:rPr>
        <w:t xml:space="preserve"> (LBCF). O UDCF foi desenvolvido para estimar efeitos heterogêneos de tratamento em cenários com múltiplas intervenções, utilizando uma única floresta causal para representar simultaneamente os diferentes grupos de tratamento. Sua implementação é baseada na estrutura da </w:t>
      </w:r>
      <w:r w:rsidDel="00000000" w:rsidR="00000000" w:rsidRPr="00000000">
        <w:rPr>
          <w:i w:val="1"/>
          <w:iCs w:val="1"/>
          <w:sz w:val="20"/>
          <w:szCs w:val="20"/>
          <w:rtl w:val="0"/>
        </w:rPr>
        <w:t xml:space="preserve">Generalized Random Forest</w:t>
      </w:r>
      <w:r w:rsidDel="00000000" w:rsidR="00000000" w:rsidRPr="00000000">
        <w:rPr>
          <w:sz w:val="20"/>
          <w:szCs w:val="20"/>
          <w:rtl w:val="0"/>
        </w:rPr>
        <w:t xml:space="preserve"> (GRF) </w:t>
      </w:r>
      <w:hyperlink r:id="rId32">
        <w:r w:rsidDel="00000000" w:rsidR="00000000" w:rsidRPr="00000000">
          <w:rPr>
            <w:sz w:val="20"/>
            <w:szCs w:val="20"/>
            <w:rtl w:val="0"/>
          </w:rPr>
          <w:t xml:space="preserve">(Athey; Tibshirani; Wager, 2019)</w:t>
        </w:r>
      </w:hyperlink>
      <w:r w:rsidDel="00000000" w:rsidR="00000000" w:rsidRPr="00000000">
        <w:rPr>
          <w:sz w:val="20"/>
          <w:szCs w:val="20"/>
          <w:rtl w:val="0"/>
        </w:rPr>
        <w:t xml:space="preserve">, com a introdução de um novo critério de divisão desenvolvido especificamente para o cenário de múltiplos tratamentos.</w:t>
      </w:r>
    </w:p>
    <w:p w:rsidR="00000000" w:rsidDel="00000000" w:rsidP="00000000" w:rsidRDefault="00000000" w:rsidRPr="00000000" w14:paraId="000000D8">
      <w:pPr>
        <w:spacing w:after="240" w:before="240" w:line="240" w:lineRule="auto"/>
        <w:rPr>
          <w:sz w:val="20"/>
          <w:szCs w:val="20"/>
        </w:rPr>
      </w:pPr>
      <w:r w:rsidDel="00000000" w:rsidR="00000000" w:rsidRPr="00000000">
        <w:rPr>
          <w:sz w:val="20"/>
          <w:szCs w:val="20"/>
          <w:rtl w:val="0"/>
        </w:rPr>
        <w:t xml:space="preserve">A principal característica do UDCF é permitir que os diferentes tratamentos sejam considerados dentro de uma mesma floresta. Em abordagens nas quais uma floresta causal separada é treinada para cada tratamento, como o </w:t>
      </w:r>
      <w:r w:rsidDel="00000000" w:rsidR="00000000" w:rsidRPr="00000000">
        <w:rPr>
          <w:i w:val="1"/>
          <w:iCs w:val="1"/>
          <w:sz w:val="20"/>
          <w:szCs w:val="20"/>
          <w:rtl w:val="0"/>
        </w:rPr>
        <w:t xml:space="preserve">Multiple Binary Causal Forest</w:t>
      </w:r>
      <w:r w:rsidDel="00000000" w:rsidR="00000000" w:rsidRPr="00000000">
        <w:rPr>
          <w:sz w:val="20"/>
          <w:szCs w:val="20"/>
          <w:rtl w:val="0"/>
        </w:rPr>
        <w:t xml:space="preserve"> (MBCF) </w:t>
      </w:r>
      <w:hyperlink r:id="rId33">
        <w:r w:rsidDel="00000000" w:rsidR="00000000" w:rsidRPr="00000000">
          <w:rPr>
            <w:sz w:val="20"/>
            <w:szCs w:val="20"/>
            <w:rtl w:val="0"/>
          </w:rPr>
          <w:t xml:space="preserve">(Tu et al., 2021)</w:t>
        </w:r>
      </w:hyperlink>
      <w:r w:rsidDel="00000000" w:rsidR="00000000" w:rsidRPr="00000000">
        <w:rPr>
          <w:sz w:val="20"/>
          <w:szCs w:val="20"/>
          <w:rtl w:val="0"/>
        </w:rPr>
        <w:t xml:space="preserve">, um mesmo indivíduo pode ser alocado em diferentes nós entre os modelos, fazendo com que os efeitos associados aos tratamentos sejam estimados a partir de diferentes regiões do espaço de características. O UDCF busca evitar essa situação ao utilizar uma estrutura de árvore comum aos grupos de tratamento, permitindo que os efeitos estimados para diferentes intervenções sejam comparados dentro do mesmo espaço de características (</w:t>
      </w:r>
      <w:hyperlink r:id="rId34">
        <w:r w:rsidDel="00000000" w:rsidR="00000000" w:rsidRPr="00000000">
          <w:rPr>
            <w:sz w:val="20"/>
            <w:szCs w:val="20"/>
            <w:rtl w:val="0"/>
          </w:rPr>
          <w:t xml:space="preserve">Ai et al., 2022</w:t>
        </w:r>
      </w:hyperlink>
      <w:r w:rsidDel="00000000" w:rsidR="00000000" w:rsidRPr="00000000">
        <w:rPr>
          <w:sz w:val="20"/>
          <w:szCs w:val="20"/>
          <w:rtl w:val="0"/>
        </w:rPr>
        <w:t xml:space="preserve">).</w:t>
      </w:r>
    </w:p>
    <w:p w:rsidR="00000000" w:rsidDel="00000000" w:rsidP="00000000" w:rsidRDefault="00000000" w:rsidRPr="00000000" w14:paraId="000000D9">
      <w:pPr>
        <w:spacing w:after="240" w:before="240" w:line="240" w:lineRule="auto"/>
        <w:rPr>
          <w:sz w:val="20"/>
          <w:szCs w:val="20"/>
        </w:rPr>
      </w:pPr>
      <w:r w:rsidDel="00000000" w:rsidR="00000000" w:rsidRPr="00000000">
        <w:rPr>
          <w:sz w:val="20"/>
          <w:szCs w:val="20"/>
          <w:rtl w:val="0"/>
        </w:rPr>
        <w:t xml:space="preserve">A construção das árvores utiliza um critério de divisão em duas etapas. Inicialmente, um critério inter-split seleciona os melhores candidatos de divisão com base na heterogeneidade do efeito de tratamento entre os nós filhos (de forma análoga à Causal Forest padrão); em seguida, dentre esses candidatos, um critério intra-split escolhe a divisão que melhor separa os diferentes tratamentos dentro de cada nó, garantindo que o modelo consiga discriminar efeitos distintos entre tratamentos mesmo quando os usuários compartilham o mesmo nó. Essa combinação equilibra custo computacional e capacidade de discriminação entre tratamentos, informação detalhada sobre a metodologia UDCF pode ser encontrada em  </w:t>
      </w:r>
      <w:hyperlink r:id="rId35">
        <w:r w:rsidDel="00000000" w:rsidR="00000000" w:rsidRPr="00000000">
          <w:rPr>
            <w:sz w:val="20"/>
            <w:szCs w:val="20"/>
            <w:rtl w:val="0"/>
          </w:rPr>
          <w:t xml:space="preserve">Ai et al., 2022</w:t>
        </w:r>
      </w:hyperlink>
      <w:r w:rsidDel="00000000" w:rsidR="00000000" w:rsidRPr="00000000">
        <w:rPr>
          <w:sz w:val="20"/>
          <w:szCs w:val="20"/>
          <w:rtl w:val="0"/>
        </w:rPr>
        <w:t xml:space="preserve">, especificamente na Seção 4.2.1 .</w:t>
      </w:r>
    </w:p>
    <w:p w:rsidR="00000000" w:rsidDel="00000000" w:rsidP="00000000" w:rsidRDefault="00000000" w:rsidRPr="00000000" w14:paraId="000000DA">
      <w:pPr>
        <w:spacing w:after="240" w:before="240" w:line="240" w:lineRule="auto"/>
        <w:rPr>
          <w:sz w:val="20"/>
          <w:szCs w:val="20"/>
        </w:rPr>
      </w:pPr>
      <w:r w:rsidDel="00000000" w:rsidR="00000000" w:rsidRPr="00000000">
        <w:rPr>
          <w:sz w:val="20"/>
          <w:szCs w:val="20"/>
          <w:rtl w:val="0"/>
        </w:rPr>
        <w:t xml:space="preserve">Uma vez construída a floresta, o CATE de cada indivíduo é estimado por meio de uma regressão de mínimos quadrados ponderados entre o tratamento e o resultado observado, na qual o peso atribuído a cada observação vizinha corresponde à frequência com que esta se encontra na mesma folha do indivíduo de interesse ao longo das árvores da floresta. Esse procedimento corresponde ao mesmo princípio de estimação local empregado em </w:t>
      </w:r>
      <w:hyperlink r:id="rId36">
        <w:r w:rsidDel="00000000" w:rsidR="00000000" w:rsidRPr="00000000">
          <w:rPr>
            <w:sz w:val="20"/>
            <w:szCs w:val="20"/>
            <w:rtl w:val="0"/>
          </w:rPr>
          <w:t xml:space="preserve">Athey; Tibshirani; Wager, 2019</w:t>
        </w:r>
      </w:hyperlink>
      <w:r w:rsidDel="00000000" w:rsidR="00000000" w:rsidRPr="00000000">
        <w:rPr>
          <w:sz w:val="20"/>
          <w:szCs w:val="20"/>
          <w:rtl w:val="0"/>
        </w:rPr>
        <w:t xml:space="preserve">. </w:t>
      </w:r>
    </w:p>
    <w:p w:rsidR="00000000" w:rsidDel="00000000" w:rsidP="00000000" w:rsidRDefault="00000000" w:rsidRPr="00000000" w14:paraId="000000DB">
      <w:pPr>
        <w:spacing w:after="240" w:before="240" w:line="240" w:lineRule="auto"/>
        <w:rPr>
          <w:sz w:val="20"/>
          <w:szCs w:val="20"/>
        </w:rPr>
      </w:pPr>
      <w:r w:rsidDel="00000000" w:rsidR="00000000" w:rsidRPr="00000000">
        <w:rPr>
          <w:sz w:val="20"/>
          <w:szCs w:val="20"/>
          <w:rtl w:val="0"/>
        </w:rPr>
        <w:t xml:space="preserve">No framework LBCF completo de </w:t>
      </w:r>
      <w:hyperlink r:id="rId37">
        <w:r w:rsidDel="00000000" w:rsidR="00000000" w:rsidRPr="00000000">
          <w:rPr>
            <w:sz w:val="20"/>
            <w:szCs w:val="20"/>
            <w:rtl w:val="0"/>
          </w:rPr>
          <w:t xml:space="preserve">Ai et al., 2022</w:t>
        </w:r>
      </w:hyperlink>
      <w:r w:rsidDel="00000000" w:rsidR="00000000" w:rsidRPr="00000000">
        <w:rPr>
          <w:sz w:val="20"/>
          <w:szCs w:val="20"/>
          <w:rtl w:val="0"/>
        </w:rPr>
        <w:t xml:space="preserve"> , as estimativas dos efeitos de tratamento produzidas pelo UDCF constituem a primeira etapa do método. Essas estimativas são posteriormente utilizadas em uma etapa de otimização com restrição orçamentária. Entretanto, no presente trabalho nos concentramos exclusivamente na estimação dos efeitos heterogêneos por meio do UDCF, uma vez que a base Hillstrom não disponibiliza informações de custo dos tratamentos nem restrições orçamentárias necessárias para reproduzir a etapa de otimização do framework LBCF.</w:t>
      </w:r>
    </w:p>
    <w:p w:rsidR="00000000" w:rsidDel="00000000" w:rsidP="00000000" w:rsidRDefault="00000000" w:rsidRPr="00000000" w14:paraId="000000DC">
      <w:pPr>
        <w:spacing w:after="240" w:before="240" w:line="240" w:lineRule="auto"/>
        <w:rPr>
          <w:sz w:val="20"/>
          <w:szCs w:val="20"/>
        </w:rPr>
      </w:pPr>
      <w:r w:rsidDel="00000000" w:rsidR="00000000" w:rsidRPr="00000000">
        <w:rPr>
          <w:sz w:val="20"/>
          <w:szCs w:val="20"/>
          <w:rtl w:val="0"/>
        </w:rPr>
        <w:t xml:space="preserve">Para fins de comparação, foram considerados três meta-learners amplamente utilizados na literatura de inferência causal e modelagem de uplift: S-Learner, T-Learner e X-Learner. Esses métodos foram selecionados como baselines para comparar a capacidade do UDCF de estimar efeitos heterogêneos de tratamento no contexto de múltiplas intervenções.</w:t>
      </w:r>
    </w:p>
    <w:p w:rsidR="00000000" w:rsidDel="00000000" w:rsidP="00000000" w:rsidRDefault="00000000" w:rsidRPr="00000000" w14:paraId="000000D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DE">
      <w:pPr>
        <w:keepNext w:val="0"/>
        <w:keepLines w:val="0"/>
        <w:spacing w:line="240" w:lineRule="auto"/>
        <w:rPr>
          <w:b w:val="1"/>
          <w:bCs w:val="1"/>
          <w:sz w:val="20"/>
          <w:szCs w:val="20"/>
        </w:rPr>
      </w:pPr>
      <w:r w:rsidDel="00000000" w:rsidR="00000000" w:rsidRPr="00000000">
        <w:rPr>
          <w:b w:val="1"/>
          <w:bCs w:val="1"/>
          <w:sz w:val="20"/>
          <w:szCs w:val="20"/>
          <w:rtl w:val="0"/>
        </w:rPr>
        <w:t xml:space="preserve">3.3 Análise exploratória e pré-processamento dos dados</w:t>
      </w:r>
    </w:p>
    <w:p w:rsidR="00000000" w:rsidDel="00000000" w:rsidP="00000000" w:rsidRDefault="00000000" w:rsidRPr="00000000" w14:paraId="000000DF">
      <w:pPr>
        <w:spacing w:after="240" w:before="240" w:line="240" w:lineRule="auto"/>
        <w:rPr>
          <w:b w:val="1"/>
          <w:bCs w:val="1"/>
          <w:sz w:val="20"/>
          <w:szCs w:val="20"/>
        </w:rPr>
      </w:pPr>
      <w:r w:rsidDel="00000000" w:rsidR="00000000" w:rsidRPr="00000000">
        <w:rPr>
          <w:b w:val="1"/>
          <w:bCs w:val="1"/>
          <w:sz w:val="20"/>
          <w:szCs w:val="20"/>
          <w:rtl w:val="0"/>
        </w:rPr>
        <w:t xml:space="preserve">3.3.1 Distribuições univariadas</w:t>
      </w:r>
    </w:p>
    <w:p w:rsidR="00000000" w:rsidDel="00000000" w:rsidP="00000000" w:rsidRDefault="00000000" w:rsidRPr="00000000" w14:paraId="000000E0">
      <w:pPr>
        <w:spacing w:after="240" w:before="240" w:line="240" w:lineRule="auto"/>
        <w:rPr>
          <w:sz w:val="20"/>
          <w:szCs w:val="20"/>
        </w:rPr>
      </w:pPr>
      <w:r w:rsidDel="00000000" w:rsidR="00000000" w:rsidRPr="00000000">
        <w:rPr>
          <w:sz w:val="20"/>
          <w:szCs w:val="20"/>
          <w:rtl w:val="0"/>
        </w:rPr>
        <w:t xml:space="preserve">Antes de proceder à codificação das variáveis e à estimação dos efeitos heterogêneos de tratamento, apresenta-se a distribuição individual das covariáveis consideradas no estudo. A Figura 1 apresenta as distribuições das duas covariáveis numéricas, recência e gasto histórico.</w:t>
      </w:r>
    </w:p>
    <w:p w:rsidR="00000000" w:rsidDel="00000000" w:rsidP="00000000" w:rsidRDefault="00000000" w:rsidRPr="00000000" w14:paraId="000000E1">
      <w:pPr>
        <w:spacing w:after="200" w:line="240" w:lineRule="auto"/>
        <w:jc w:val="center"/>
        <w:rPr>
          <w:sz w:val="20"/>
          <w:szCs w:val="20"/>
        </w:rPr>
      </w:pPr>
      <w:r w:rsidDel="00000000" w:rsidR="00000000" w:rsidRPr="00000000">
        <w:rPr>
          <w:sz w:val="20"/>
          <w:szCs w:val="20"/>
          <w:rtl w:val="0"/>
        </w:rPr>
        <w:t xml:space="preserve">Figura 1: Distribuição das covariáveis numéricas recência e gasto histórico.</w:t>
      </w:r>
    </w:p>
    <w:p w:rsidR="00000000" w:rsidDel="00000000" w:rsidP="00000000" w:rsidRDefault="00000000" w:rsidRPr="00000000" w14:paraId="000000E2">
      <w:pPr>
        <w:spacing w:after="240" w:before="240" w:line="240" w:lineRule="auto"/>
        <w:jc w:val="center"/>
        <w:rPr>
          <w:sz w:val="20"/>
          <w:szCs w:val="20"/>
        </w:rPr>
      </w:pPr>
      <w:r w:rsidDel="00000000" w:rsidR="00000000" w:rsidRPr="00000000">
        <w:rPr>
          <w:sz w:val="20"/>
          <w:szCs w:val="20"/>
        </w:rPr>
        <w:drawing>
          <wp:inline distB="114300" distT="114300" distL="114300" distR="114300">
            <wp:extent cx="5759140" cy="2260600"/>
            <wp:effectExtent b="0" l="0" r="0" t="0"/>
            <wp:docPr id="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5914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00" w:line="240" w:lineRule="auto"/>
        <w:jc w:val="left"/>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0E4">
      <w:pPr>
        <w:spacing w:after="200" w:line="240" w:lineRule="auto"/>
        <w:rPr>
          <w:sz w:val="20"/>
          <w:szCs w:val="20"/>
        </w:rPr>
      </w:pPr>
      <w:r w:rsidDel="00000000" w:rsidR="00000000" w:rsidRPr="00000000">
        <w:rPr>
          <w:sz w:val="20"/>
          <w:szCs w:val="20"/>
          <w:rtl w:val="0"/>
        </w:rPr>
        <w:t xml:space="preserve">A variável recência apresenta uma distribuição com dois picos, concentrando observações tanto em clientes com compra recente (1 a 2 meses) quanto em clientes com maior tempo desde a última compra (8 a 10 meses). Já a variável gasto histórico apresenta forte assimetria à direita, com a maior parte dos clientes concentrada em valores baixos (até US$ 250) e uma cauda longa de clientes de alto gasto, o que é típico de dados de valor monetário em contextos de varejo.</w:t>
      </w:r>
    </w:p>
    <w:p w:rsidR="00000000" w:rsidDel="00000000" w:rsidP="00000000" w:rsidRDefault="00000000" w:rsidRPr="00000000" w14:paraId="000000E5">
      <w:pPr>
        <w:spacing w:after="200" w:line="240" w:lineRule="auto"/>
        <w:rPr>
          <w:sz w:val="20"/>
          <w:szCs w:val="20"/>
        </w:rPr>
      </w:pPr>
      <w:r w:rsidDel="00000000" w:rsidR="00000000" w:rsidRPr="00000000">
        <w:rPr>
          <w:rtl w:val="0"/>
        </w:rPr>
      </w:r>
    </w:p>
    <w:p w:rsidR="00000000" w:rsidDel="00000000" w:rsidP="00000000" w:rsidRDefault="00000000" w:rsidRPr="00000000" w14:paraId="000000E6">
      <w:pPr>
        <w:spacing w:after="200" w:line="240" w:lineRule="auto"/>
        <w:rPr>
          <w:sz w:val="20"/>
          <w:szCs w:val="20"/>
        </w:rPr>
      </w:pPr>
      <w:r w:rsidDel="00000000" w:rsidR="00000000" w:rsidRPr="00000000">
        <w:rPr>
          <w:rtl w:val="0"/>
        </w:rPr>
      </w:r>
    </w:p>
    <w:p w:rsidR="00000000" w:rsidDel="00000000" w:rsidP="00000000" w:rsidRDefault="00000000" w:rsidRPr="00000000" w14:paraId="000000E7">
      <w:pPr>
        <w:spacing w:after="200" w:line="240" w:lineRule="auto"/>
        <w:rPr>
          <w:sz w:val="20"/>
          <w:szCs w:val="20"/>
        </w:rPr>
      </w:pPr>
      <w:r w:rsidDel="00000000" w:rsidR="00000000" w:rsidRPr="00000000">
        <w:rPr>
          <w:rtl w:val="0"/>
        </w:rPr>
      </w:r>
    </w:p>
    <w:p w:rsidR="00000000" w:rsidDel="00000000" w:rsidP="00000000" w:rsidRDefault="00000000" w:rsidRPr="00000000" w14:paraId="000000E8">
      <w:pPr>
        <w:spacing w:after="200" w:line="240" w:lineRule="auto"/>
        <w:rPr>
          <w:sz w:val="20"/>
          <w:szCs w:val="20"/>
        </w:rPr>
      </w:pPr>
      <w:r w:rsidDel="00000000" w:rsidR="00000000" w:rsidRPr="00000000">
        <w:rPr>
          <w:sz w:val="20"/>
          <w:szCs w:val="20"/>
          <w:rtl w:val="0"/>
        </w:rPr>
        <w:t xml:space="preserve">A Figura 2 apresenta as distribuições das covariáveis categóricas nominais: compra masculina, compra feminina, cliente novo, tipo de região e canal de compra.</w:t>
      </w:r>
    </w:p>
    <w:p w:rsidR="00000000" w:rsidDel="00000000" w:rsidP="00000000" w:rsidRDefault="00000000" w:rsidRPr="00000000" w14:paraId="000000E9">
      <w:pPr>
        <w:spacing w:after="200" w:line="360" w:lineRule="auto"/>
        <w:jc w:val="center"/>
        <w:rPr>
          <w:sz w:val="16"/>
          <w:szCs w:val="16"/>
        </w:rPr>
      </w:pPr>
      <w:r w:rsidDel="00000000" w:rsidR="00000000" w:rsidRPr="00000000">
        <w:rPr>
          <w:sz w:val="20"/>
          <w:szCs w:val="20"/>
          <w:rtl w:val="0"/>
        </w:rPr>
        <w:t xml:space="preserve">Figura 2: Distribuição das covariáveis categóricas.</w:t>
      </w:r>
      <w:r w:rsidDel="00000000" w:rsidR="00000000" w:rsidRPr="00000000">
        <w:rPr>
          <w:rtl w:val="0"/>
        </w:rPr>
      </w:r>
    </w:p>
    <w:p w:rsidR="00000000" w:rsidDel="00000000" w:rsidP="00000000" w:rsidRDefault="00000000" w:rsidRPr="00000000" w14:paraId="000000EA">
      <w:pPr>
        <w:spacing w:after="200" w:line="240" w:lineRule="auto"/>
        <w:jc w:val="center"/>
        <w:rPr>
          <w:sz w:val="20"/>
          <w:szCs w:val="20"/>
        </w:rPr>
      </w:pPr>
      <w:r w:rsidDel="00000000" w:rsidR="00000000" w:rsidRPr="00000000">
        <w:rPr>
          <w:sz w:val="20"/>
          <w:szCs w:val="20"/>
        </w:rPr>
        <w:drawing>
          <wp:inline distB="114300" distT="114300" distL="114300" distR="114300">
            <wp:extent cx="5759140" cy="3073400"/>
            <wp:effectExtent b="0" l="0" r="0" t="0"/>
            <wp:docPr id="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591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240" w:lineRule="auto"/>
        <w:jc w:val="left"/>
        <w:rPr>
          <w:b w:val="1"/>
          <w:bCs w:val="1"/>
          <w:sz w:val="24"/>
          <w:szCs w:val="24"/>
        </w:rPr>
      </w:pPr>
      <w:r w:rsidDel="00000000" w:rsidR="00000000" w:rsidRPr="00000000">
        <w:rPr>
          <w:sz w:val="20"/>
          <w:szCs w:val="20"/>
          <w:rtl w:val="0"/>
        </w:rPr>
        <w:t xml:space="preserve">Fonte: elaboração própria, a partir da base Hillstrom.</w:t>
      </w:r>
      <w:r w:rsidDel="00000000" w:rsidR="00000000" w:rsidRPr="00000000">
        <w:rPr>
          <w:rtl w:val="0"/>
        </w:rPr>
      </w:r>
    </w:p>
    <w:p w:rsidR="00000000" w:rsidDel="00000000" w:rsidP="00000000" w:rsidRDefault="00000000" w:rsidRPr="00000000" w14:paraId="000000EC">
      <w:pPr>
        <w:spacing w:after="200" w:line="240" w:lineRule="auto"/>
        <w:rPr>
          <w:sz w:val="20"/>
          <w:szCs w:val="20"/>
        </w:rPr>
      </w:pPr>
      <w:r w:rsidDel="00000000" w:rsidR="00000000" w:rsidRPr="00000000">
        <w:rPr>
          <w:sz w:val="20"/>
          <w:szCs w:val="20"/>
          <w:rtl w:val="0"/>
        </w:rPr>
        <w:t xml:space="preserve">As variáveis compra masculina, compra feminina e cliente novo apresentam distribuição relativamente balanceada entre as categorias. Já tipo de região mostra maior concentração nas categorias Suburbana e Urbana, com menor representatividade da categoria Rural. Da mesma forma, canal de compra mostra menor frequência da categoria Multicanal (</w:t>
      </w:r>
      <w:r w:rsidDel="00000000" w:rsidR="00000000" w:rsidRPr="00000000">
        <w:rPr>
          <w:i w:val="1"/>
          <w:iCs w:val="1"/>
          <w:sz w:val="20"/>
          <w:szCs w:val="20"/>
          <w:rtl w:val="0"/>
        </w:rPr>
        <w:t xml:space="preserve">Multichannel</w:t>
      </w:r>
      <w:r w:rsidDel="00000000" w:rsidR="00000000" w:rsidRPr="00000000">
        <w:rPr>
          <w:sz w:val="20"/>
          <w:szCs w:val="20"/>
          <w:rtl w:val="0"/>
        </w:rPr>
        <w:t xml:space="preserve">) em relação às categorias Telefone e Web, que apresentam frequências semelhantes entre si.</w:t>
      </w:r>
    </w:p>
    <w:p w:rsidR="00000000" w:rsidDel="00000000" w:rsidP="00000000" w:rsidRDefault="00000000" w:rsidRPr="00000000" w14:paraId="000000ED">
      <w:pPr>
        <w:spacing w:after="200" w:line="240" w:lineRule="auto"/>
        <w:rPr>
          <w:sz w:val="20"/>
          <w:szCs w:val="20"/>
        </w:rPr>
      </w:pPr>
      <w:r w:rsidDel="00000000" w:rsidR="00000000" w:rsidRPr="00000000">
        <w:rPr>
          <w:b w:val="1"/>
          <w:bCs w:val="1"/>
          <w:sz w:val="20"/>
          <w:szCs w:val="20"/>
          <w:rtl w:val="0"/>
        </w:rPr>
        <w:t xml:space="preserve">3.3.2 Análise de balanceamento entre grupos</w:t>
      </w:r>
      <w:r w:rsidDel="00000000" w:rsidR="00000000" w:rsidRPr="00000000">
        <w:rPr>
          <w:sz w:val="20"/>
          <w:szCs w:val="20"/>
          <w:rtl w:val="0"/>
        </w:rPr>
        <w:t xml:space="preserve"> </w:t>
      </w:r>
    </w:p>
    <w:p w:rsidR="00000000" w:rsidDel="00000000" w:rsidP="00000000" w:rsidRDefault="00000000" w:rsidRPr="00000000" w14:paraId="000000EE">
      <w:pPr>
        <w:spacing w:after="200" w:line="240" w:lineRule="auto"/>
        <w:rPr>
          <w:sz w:val="20"/>
          <w:szCs w:val="20"/>
        </w:rPr>
      </w:pPr>
      <w:r w:rsidDel="00000000" w:rsidR="00000000" w:rsidRPr="00000000">
        <w:rPr>
          <w:sz w:val="20"/>
          <w:szCs w:val="20"/>
          <w:rtl w:val="0"/>
        </w:rPr>
        <w:t xml:space="preserve">Para verificar se a aleatorização do experimento se sustenta empiricamente nas covariáveis observadas, condição necessária para a interpretação causal das estimativas de CATE, comparamos a distribuição de cada covariável entre os três grupos da campanha (e-mail masculino, e-mail feminino e nenhum e-mail). Para as covariáveis numéricas (recência e gasto histórico), aplicamos o teste ANOVA; para as covariáveis categóricas nominais (compra masculina, compra feminina, cliente novo, tipo de região e canal de compra), aplicamos o teste qui-quadrado de independência. A Tabela 3 apresenta os resultados.</w:t>
      </w:r>
    </w:p>
    <w:p w:rsidR="00000000" w:rsidDel="00000000" w:rsidP="00000000" w:rsidRDefault="00000000" w:rsidRPr="00000000" w14:paraId="000000EF">
      <w:pPr>
        <w:spacing w:after="200" w:line="240" w:lineRule="auto"/>
        <w:rPr>
          <w:sz w:val="20"/>
          <w:szCs w:val="20"/>
        </w:rPr>
      </w:pPr>
      <w:r w:rsidDel="00000000" w:rsidR="00000000" w:rsidRPr="00000000">
        <w:rPr>
          <w:sz w:val="20"/>
          <w:szCs w:val="20"/>
          <w:rtl w:val="0"/>
        </w:rPr>
        <w:t xml:space="preserve">Tabela 3: Resultado dos testes de balanceamento entre os grupos de campanha.</w:t>
      </w:r>
    </w:p>
    <w:tbl>
      <w:tblPr>
        <w:tblStyle w:val="Table7"/>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190"/>
        <w:gridCol w:w="1605"/>
        <w:tblGridChange w:id="0">
          <w:tblGrid>
            <w:gridCol w:w="2580"/>
            <w:gridCol w:w="2190"/>
            <w:gridCol w:w="16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Covariável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1">
            <w:pPr>
              <w:spacing w:line="240" w:lineRule="auto"/>
              <w:jc w:val="center"/>
              <w:rPr>
                <w:b w:val="1"/>
                <w:bCs w:val="1"/>
                <w:sz w:val="20"/>
                <w:szCs w:val="20"/>
              </w:rPr>
            </w:pPr>
            <w:r w:rsidDel="00000000" w:rsidR="00000000" w:rsidRPr="00000000">
              <w:rPr>
                <w:b w:val="1"/>
                <w:bCs w:val="1"/>
                <w:sz w:val="20"/>
                <w:szCs w:val="20"/>
                <w:rtl w:val="0"/>
              </w:rPr>
              <w:t xml:space="preserve">Teste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2">
            <w:pPr>
              <w:spacing w:line="240" w:lineRule="auto"/>
              <w:jc w:val="center"/>
              <w:rPr>
                <w:b w:val="1"/>
                <w:bCs w:val="1"/>
                <w:sz w:val="20"/>
                <w:szCs w:val="20"/>
              </w:rPr>
            </w:pPr>
            <w:r w:rsidDel="00000000" w:rsidR="00000000" w:rsidRPr="00000000">
              <w:rPr>
                <w:b w:val="1"/>
                <w:bCs w:val="1"/>
                <w:sz w:val="20"/>
                <w:szCs w:val="20"/>
                <w:rtl w:val="0"/>
              </w:rPr>
              <w:t xml:space="preserve">p-valor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Recência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4">
            <w:pPr>
              <w:spacing w:line="240" w:lineRule="auto"/>
              <w:jc w:val="center"/>
              <w:rPr>
                <w:sz w:val="20"/>
                <w:szCs w:val="20"/>
              </w:rPr>
            </w:pPr>
            <w:r w:rsidDel="00000000" w:rsidR="00000000" w:rsidRPr="00000000">
              <w:rPr>
                <w:sz w:val="20"/>
                <w:szCs w:val="20"/>
                <w:rtl w:val="0"/>
              </w:rPr>
              <w:t xml:space="preserve">ANOVA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5">
            <w:pPr>
              <w:spacing w:line="240" w:lineRule="auto"/>
              <w:jc w:val="center"/>
              <w:rPr>
                <w:sz w:val="20"/>
                <w:szCs w:val="20"/>
              </w:rPr>
            </w:pPr>
            <w:r w:rsidDel="00000000" w:rsidR="00000000" w:rsidRPr="00000000">
              <w:rPr>
                <w:sz w:val="20"/>
                <w:szCs w:val="20"/>
                <w:rtl w:val="0"/>
              </w:rPr>
              <w:t xml:space="preserve">0,7631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Gasto histórico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7">
            <w:pPr>
              <w:spacing w:line="240" w:lineRule="auto"/>
              <w:jc w:val="center"/>
              <w:rPr>
                <w:sz w:val="20"/>
                <w:szCs w:val="20"/>
              </w:rPr>
            </w:pPr>
            <w:r w:rsidDel="00000000" w:rsidR="00000000" w:rsidRPr="00000000">
              <w:rPr>
                <w:sz w:val="20"/>
                <w:szCs w:val="20"/>
                <w:rtl w:val="0"/>
              </w:rPr>
              <w:t xml:space="preserve">ANOVA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8">
            <w:pPr>
              <w:spacing w:line="240" w:lineRule="auto"/>
              <w:jc w:val="center"/>
              <w:rPr>
                <w:sz w:val="20"/>
                <w:szCs w:val="20"/>
              </w:rPr>
            </w:pPr>
            <w:r w:rsidDel="00000000" w:rsidR="00000000" w:rsidRPr="00000000">
              <w:rPr>
                <w:sz w:val="20"/>
                <w:szCs w:val="20"/>
                <w:rtl w:val="0"/>
              </w:rPr>
              <w:t xml:space="preserve">0,6980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Compra masculina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A">
            <w:pPr>
              <w:spacing w:line="240" w:lineRule="auto"/>
              <w:jc w:val="center"/>
              <w:rPr>
                <w:sz w:val="20"/>
                <w:szCs w:val="20"/>
              </w:rPr>
            </w:pPr>
            <w:r w:rsidDel="00000000" w:rsidR="00000000" w:rsidRPr="00000000">
              <w:rPr>
                <w:sz w:val="20"/>
                <w:szCs w:val="20"/>
                <w:rtl w:val="0"/>
              </w:rPr>
              <w:t xml:space="preserve">Qui-quadrado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B">
            <w:pPr>
              <w:spacing w:line="240" w:lineRule="auto"/>
              <w:jc w:val="center"/>
              <w:rPr>
                <w:sz w:val="20"/>
                <w:szCs w:val="20"/>
              </w:rPr>
            </w:pPr>
            <w:r w:rsidDel="00000000" w:rsidR="00000000" w:rsidRPr="00000000">
              <w:rPr>
                <w:sz w:val="20"/>
                <w:szCs w:val="20"/>
                <w:rtl w:val="0"/>
              </w:rPr>
              <w:t xml:space="preserve">0,6717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Compra feminina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D">
            <w:pPr>
              <w:spacing w:line="240" w:lineRule="auto"/>
              <w:jc w:val="center"/>
              <w:rPr>
                <w:sz w:val="20"/>
                <w:szCs w:val="20"/>
              </w:rPr>
            </w:pPr>
            <w:r w:rsidDel="00000000" w:rsidR="00000000" w:rsidRPr="00000000">
              <w:rPr>
                <w:sz w:val="20"/>
                <w:szCs w:val="20"/>
                <w:rtl w:val="0"/>
              </w:rPr>
              <w:t xml:space="preserve">Qui-quadrado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E">
            <w:pPr>
              <w:spacing w:line="240" w:lineRule="auto"/>
              <w:jc w:val="center"/>
              <w:rPr>
                <w:sz w:val="20"/>
                <w:szCs w:val="20"/>
              </w:rPr>
            </w:pPr>
            <w:r w:rsidDel="00000000" w:rsidR="00000000" w:rsidRPr="00000000">
              <w:rPr>
                <w:sz w:val="20"/>
                <w:szCs w:val="20"/>
                <w:rtl w:val="0"/>
              </w:rPr>
              <w:t xml:space="preserve">0,7289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Cliente novo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0">
            <w:pPr>
              <w:spacing w:line="240" w:lineRule="auto"/>
              <w:jc w:val="center"/>
              <w:rPr>
                <w:sz w:val="20"/>
                <w:szCs w:val="20"/>
              </w:rPr>
            </w:pPr>
            <w:r w:rsidDel="00000000" w:rsidR="00000000" w:rsidRPr="00000000">
              <w:rPr>
                <w:sz w:val="20"/>
                <w:szCs w:val="20"/>
                <w:rtl w:val="0"/>
              </w:rPr>
              <w:t xml:space="preserve">Qui-quadrado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1">
            <w:pPr>
              <w:spacing w:line="240" w:lineRule="auto"/>
              <w:jc w:val="center"/>
              <w:rPr>
                <w:sz w:val="20"/>
                <w:szCs w:val="20"/>
              </w:rPr>
            </w:pPr>
            <w:r w:rsidDel="00000000" w:rsidR="00000000" w:rsidRPr="00000000">
              <w:rPr>
                <w:sz w:val="20"/>
                <w:szCs w:val="20"/>
                <w:rtl w:val="0"/>
              </w:rPr>
              <w:t xml:space="preserve">0,9339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Tipo de região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3">
            <w:pPr>
              <w:spacing w:line="240" w:lineRule="auto"/>
              <w:jc w:val="center"/>
              <w:rPr>
                <w:sz w:val="20"/>
                <w:szCs w:val="20"/>
              </w:rPr>
            </w:pPr>
            <w:r w:rsidDel="00000000" w:rsidR="00000000" w:rsidRPr="00000000">
              <w:rPr>
                <w:sz w:val="20"/>
                <w:szCs w:val="20"/>
                <w:rtl w:val="0"/>
              </w:rPr>
              <w:t xml:space="preserve">Qui-quadrado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4">
            <w:pPr>
              <w:spacing w:line="240" w:lineRule="auto"/>
              <w:jc w:val="center"/>
              <w:rPr>
                <w:sz w:val="20"/>
                <w:szCs w:val="20"/>
              </w:rPr>
            </w:pPr>
            <w:r w:rsidDel="00000000" w:rsidR="00000000" w:rsidRPr="00000000">
              <w:rPr>
                <w:sz w:val="20"/>
                <w:szCs w:val="20"/>
                <w:rtl w:val="0"/>
              </w:rPr>
              <w:t xml:space="preserve">0,5795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Canal de compra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6">
            <w:pPr>
              <w:spacing w:line="240" w:lineRule="auto"/>
              <w:jc w:val="center"/>
              <w:rPr>
                <w:sz w:val="20"/>
                <w:szCs w:val="20"/>
              </w:rPr>
            </w:pPr>
            <w:r w:rsidDel="00000000" w:rsidR="00000000" w:rsidRPr="00000000">
              <w:rPr>
                <w:sz w:val="20"/>
                <w:szCs w:val="20"/>
                <w:rtl w:val="0"/>
              </w:rPr>
              <w:t xml:space="preserve">Qui-quadrado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spacing w:line="240" w:lineRule="auto"/>
              <w:jc w:val="center"/>
              <w:rPr>
                <w:sz w:val="20"/>
                <w:szCs w:val="20"/>
              </w:rPr>
            </w:pPr>
            <w:r w:rsidDel="00000000" w:rsidR="00000000" w:rsidRPr="00000000">
              <w:rPr>
                <w:sz w:val="20"/>
                <w:szCs w:val="20"/>
                <w:rtl w:val="0"/>
              </w:rPr>
              <w:t xml:space="preserve">0,4580</w:t>
            </w:r>
          </w:p>
        </w:tc>
      </w:tr>
    </w:tbl>
    <w:p w:rsidR="00000000" w:rsidDel="00000000" w:rsidP="00000000" w:rsidRDefault="00000000" w:rsidRPr="00000000" w14:paraId="00000108">
      <w:pPr>
        <w:spacing w:after="200" w:line="240" w:lineRule="auto"/>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09">
      <w:pPr>
        <w:spacing w:after="200" w:line="240" w:lineRule="auto"/>
        <w:rPr>
          <w:sz w:val="20"/>
          <w:szCs w:val="20"/>
        </w:rPr>
      </w:pPr>
      <w:r w:rsidDel="00000000" w:rsidR="00000000" w:rsidRPr="00000000">
        <w:rPr>
          <w:sz w:val="20"/>
          <w:szCs w:val="20"/>
          <w:rtl w:val="0"/>
        </w:rPr>
        <w:t xml:space="preserve">Todos os p-valores obtidos são superiores ao nível de significância de 0,05, não havendo, portanto, evidência estatística de diferença entre os grupos em nenhuma das sete covariáveis analisadas. Esse resultado é consistente com o desenho experimental da base Hillstrom, em que os clientes foram aleatoriamente designados aos grupos de tratamento, corroborando a validade da aleatorização e sustentando a interpretação causal das estimativas de efeito de tratamento obtidas nas seções seguintes.</w:t>
      </w:r>
    </w:p>
    <w:p w:rsidR="00000000" w:rsidDel="00000000" w:rsidP="00000000" w:rsidRDefault="00000000" w:rsidRPr="00000000" w14:paraId="0000010A">
      <w:pPr>
        <w:pStyle w:val="Heading2"/>
        <w:keepNext w:val="0"/>
        <w:keepLines w:val="0"/>
        <w:spacing w:after="200" w:before="300" w:line="240" w:lineRule="auto"/>
        <w:jc w:val="both"/>
        <w:rPr>
          <w:sz w:val="20"/>
          <w:szCs w:val="20"/>
        </w:rPr>
      </w:pPr>
      <w:bookmarkStart w:colFirst="0" w:colLast="0" w:name="_a4nq06giny1k" w:id="0"/>
      <w:bookmarkEnd w:id="0"/>
      <w:r w:rsidDel="00000000" w:rsidR="00000000" w:rsidRPr="00000000">
        <w:rPr>
          <w:sz w:val="20"/>
          <w:szCs w:val="20"/>
          <w:rtl w:val="0"/>
        </w:rPr>
        <w:t xml:space="preserve">3.3.3 Desfecho: taxa de conversão por grupo (ATE Naive)</w:t>
      </w:r>
    </w:p>
    <w:p w:rsidR="00000000" w:rsidDel="00000000" w:rsidP="00000000" w:rsidRDefault="00000000" w:rsidRPr="00000000" w14:paraId="0000010B">
      <w:pPr>
        <w:spacing w:after="200" w:line="240" w:lineRule="auto"/>
        <w:rPr>
          <w:sz w:val="20"/>
          <w:szCs w:val="20"/>
        </w:rPr>
      </w:pPr>
      <w:r w:rsidDel="00000000" w:rsidR="00000000" w:rsidRPr="00000000">
        <w:rPr>
          <w:sz w:val="20"/>
          <w:szCs w:val="20"/>
          <w:rtl w:val="0"/>
        </w:rPr>
        <w:t xml:space="preserve">Como análise preliminar do efeito da campanha sobre o desfecho, calculamos a taxa média de conversão observada em cada grupo experimental dada por </w:t>
      </w:r>
      <m:oMath>
        <m:r>
          <w:rPr>
            <w:sz w:val="20"/>
            <w:szCs w:val="20"/>
          </w:rPr>
          <m:t xml:space="preserve">E(Y|T=t)</m:t>
        </m:r>
      </m:oMath>
      <w:r w:rsidDel="00000000" w:rsidR="00000000" w:rsidRPr="00000000">
        <w:rPr>
          <w:sz w:val="20"/>
          <w:szCs w:val="20"/>
          <w:rtl w:val="0"/>
        </w:rPr>
        <w:t xml:space="preserve">. A Tabela 4 apresenta o resultado e a Figura 3 ilustra sua comparação.</w:t>
      </w:r>
    </w:p>
    <w:p w:rsidR="00000000" w:rsidDel="00000000" w:rsidP="00000000" w:rsidRDefault="00000000" w:rsidRPr="00000000" w14:paraId="0000010C">
      <w:pPr>
        <w:spacing w:after="200" w:line="240" w:lineRule="auto"/>
        <w:rPr>
          <w:sz w:val="20"/>
          <w:szCs w:val="20"/>
        </w:rPr>
      </w:pPr>
      <w:r w:rsidDel="00000000" w:rsidR="00000000" w:rsidRPr="00000000">
        <w:rPr>
          <w:sz w:val="20"/>
          <w:szCs w:val="20"/>
          <w:rtl w:val="0"/>
        </w:rPr>
        <w:t xml:space="preserve">Tabela 4: Taxa de conversão por grupo de campanha.</w:t>
      </w:r>
    </w:p>
    <w:tbl>
      <w:tblPr>
        <w:tblStyle w:val="Table8"/>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385"/>
        <w:gridCol w:w="1410"/>
        <w:tblGridChange w:id="0">
          <w:tblGrid>
            <w:gridCol w:w="2790"/>
            <w:gridCol w:w="2385"/>
            <w:gridCol w:w="14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Campanha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E">
            <w:pPr>
              <w:spacing w:line="240" w:lineRule="auto"/>
              <w:jc w:val="center"/>
              <w:rPr>
                <w:b w:val="1"/>
                <w:bCs w:val="1"/>
                <w:sz w:val="20"/>
                <w:szCs w:val="20"/>
              </w:rPr>
            </w:pPr>
            <w:r w:rsidDel="00000000" w:rsidR="00000000" w:rsidRPr="00000000">
              <w:rPr>
                <w:b w:val="1"/>
                <w:bCs w:val="1"/>
                <w:sz w:val="20"/>
                <w:szCs w:val="20"/>
                <w:rtl w:val="0"/>
              </w:rPr>
              <w:t xml:space="preserve">Taxa de conversão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F">
            <w:pPr>
              <w:spacing w:line="240" w:lineRule="auto"/>
              <w:jc w:val="center"/>
              <w:rPr>
                <w:b w:val="1"/>
                <w:bCs w:val="1"/>
                <w:sz w:val="20"/>
                <w:szCs w:val="20"/>
              </w:rPr>
            </w:pPr>
            <w:r w:rsidDel="00000000" w:rsidR="00000000" w:rsidRPr="00000000">
              <w:rPr>
                <w:b w:val="1"/>
                <w:bCs w:val="1"/>
                <w:sz w:val="20"/>
                <w:szCs w:val="20"/>
                <w:rtl w:val="0"/>
              </w:rPr>
              <w:t xml:space="preserve">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1">
            <w:pPr>
              <w:spacing w:line="240" w:lineRule="auto"/>
              <w:jc w:val="center"/>
              <w:rPr>
                <w:sz w:val="20"/>
                <w:szCs w:val="20"/>
              </w:rPr>
            </w:pPr>
            <w:commentRangeStart w:id="0"/>
            <w:r w:rsidDel="00000000" w:rsidR="00000000" w:rsidRPr="00000000">
              <w:rPr>
                <w:sz w:val="20"/>
                <w:szCs w:val="20"/>
                <w:rtl w:val="0"/>
              </w:rPr>
              <w:t xml:space="preserve">0,0125</w:t>
            </w:r>
            <w:commentRangeEnd w:id="0"/>
            <w:r w:rsidDel="00000000" w:rsidR="00000000" w:rsidRPr="00000000">
              <w:commentReference w:id="0"/>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2">
            <w:pPr>
              <w:spacing w:line="240" w:lineRule="auto"/>
              <w:jc w:val="center"/>
              <w:rPr>
                <w:sz w:val="20"/>
                <w:szCs w:val="20"/>
              </w:rPr>
            </w:pPr>
            <w:r w:rsidDel="00000000" w:rsidR="00000000" w:rsidRPr="00000000">
              <w:rPr>
                <w:sz w:val="20"/>
                <w:szCs w:val="20"/>
                <w:rtl w:val="0"/>
              </w:rPr>
              <w:t xml:space="preserve">21307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Womens 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4">
            <w:pPr>
              <w:spacing w:line="240" w:lineRule="auto"/>
              <w:jc w:val="center"/>
              <w:rPr>
                <w:sz w:val="20"/>
                <w:szCs w:val="20"/>
              </w:rPr>
            </w:pPr>
            <w:r w:rsidDel="00000000" w:rsidR="00000000" w:rsidRPr="00000000">
              <w:rPr>
                <w:sz w:val="20"/>
                <w:szCs w:val="20"/>
                <w:rtl w:val="0"/>
              </w:rPr>
              <w:t xml:space="preserve">0,0088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5">
            <w:pPr>
              <w:spacing w:line="240" w:lineRule="auto"/>
              <w:jc w:val="center"/>
              <w:rPr>
                <w:sz w:val="20"/>
                <w:szCs w:val="20"/>
              </w:rPr>
            </w:pPr>
            <w:r w:rsidDel="00000000" w:rsidR="00000000" w:rsidRPr="00000000">
              <w:rPr>
                <w:sz w:val="20"/>
                <w:szCs w:val="20"/>
                <w:rtl w:val="0"/>
              </w:rPr>
              <w:t xml:space="preserve">21387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No E-Mail (controle)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7">
            <w:pPr>
              <w:spacing w:line="240" w:lineRule="auto"/>
              <w:jc w:val="center"/>
              <w:rPr>
                <w:sz w:val="20"/>
                <w:szCs w:val="20"/>
              </w:rPr>
            </w:pPr>
            <w:r w:rsidDel="00000000" w:rsidR="00000000" w:rsidRPr="00000000">
              <w:rPr>
                <w:sz w:val="20"/>
                <w:szCs w:val="20"/>
                <w:rtl w:val="0"/>
              </w:rPr>
              <w:t xml:space="preserve">0,0057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8">
            <w:pPr>
              <w:spacing w:line="240" w:lineRule="auto"/>
              <w:jc w:val="center"/>
              <w:rPr>
                <w:sz w:val="20"/>
                <w:szCs w:val="20"/>
              </w:rPr>
            </w:pPr>
            <w:r w:rsidDel="00000000" w:rsidR="00000000" w:rsidRPr="00000000">
              <w:rPr>
                <w:sz w:val="20"/>
                <w:szCs w:val="20"/>
                <w:rtl w:val="0"/>
              </w:rPr>
              <w:t xml:space="preserve">21306</w:t>
            </w:r>
          </w:p>
        </w:tc>
      </w:tr>
    </w:tbl>
    <w:p w:rsidR="00000000" w:rsidDel="00000000" w:rsidP="00000000" w:rsidRDefault="00000000" w:rsidRPr="00000000" w14:paraId="00000119">
      <w:pPr>
        <w:spacing w:after="200" w:line="240" w:lineRule="auto"/>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1A">
      <w:pPr>
        <w:spacing w:after="200" w:line="240" w:lineRule="auto"/>
        <w:jc w:val="center"/>
        <w:rPr>
          <w:sz w:val="20"/>
          <w:szCs w:val="20"/>
        </w:rPr>
      </w:pPr>
      <w:r w:rsidDel="00000000" w:rsidR="00000000" w:rsidRPr="00000000">
        <w:rPr>
          <w:sz w:val="20"/>
          <w:szCs w:val="20"/>
          <w:rtl w:val="0"/>
        </w:rPr>
        <w:t xml:space="preserve">Figura 3: Taxa de conversão por grupo de campanha.</w:t>
      </w:r>
    </w:p>
    <w:p w:rsidR="00000000" w:rsidDel="00000000" w:rsidP="00000000" w:rsidRDefault="00000000" w:rsidRPr="00000000" w14:paraId="0000011B">
      <w:pPr>
        <w:spacing w:after="200" w:line="240" w:lineRule="auto"/>
        <w:jc w:val="center"/>
        <w:rPr>
          <w:sz w:val="20"/>
          <w:szCs w:val="20"/>
        </w:rPr>
      </w:pPr>
      <w:r w:rsidDel="00000000" w:rsidR="00000000" w:rsidRPr="00000000">
        <w:rPr>
          <w:sz w:val="20"/>
          <w:szCs w:val="20"/>
        </w:rPr>
        <w:drawing>
          <wp:inline distB="114300" distT="114300" distL="114300" distR="114300">
            <wp:extent cx="3178013" cy="1933575"/>
            <wp:effectExtent b="0" l="0" r="0" t="0"/>
            <wp:docPr id="4"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17801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240" w:lineRule="auto"/>
        <w:jc w:val="center"/>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1D">
      <w:pPr>
        <w:spacing w:after="200" w:line="240" w:lineRule="auto"/>
        <w:rPr>
          <w:sz w:val="20"/>
          <w:szCs w:val="20"/>
        </w:rPr>
      </w:pPr>
      <w:r w:rsidDel="00000000" w:rsidR="00000000" w:rsidRPr="00000000">
        <w:rPr>
          <w:sz w:val="20"/>
          <w:szCs w:val="20"/>
          <w:rtl w:val="0"/>
        </w:rPr>
        <w:t xml:space="preserve">Tomando o grupo No E-Mail como controle, o ATE Naive estimado (diferença simples de médias </w:t>
      </w:r>
      <m:oMath>
        <m:r>
          <w:rPr>
            <w:sz w:val="20"/>
            <w:szCs w:val="20"/>
          </w:rPr>
          <m:t xml:space="preserve">E(Y|T=t)-E(Y|T=0)</m:t>
        </m:r>
      </m:oMath>
      <w:r w:rsidDel="00000000" w:rsidR="00000000" w:rsidRPr="00000000">
        <w:rPr>
          <w:sz w:val="20"/>
          <w:szCs w:val="20"/>
          <w:rtl w:val="0"/>
        </w:rPr>
        <w:t xml:space="preserve">) de cada campanha em relação ao controle é:</w:t>
      </w:r>
    </w:p>
    <w:p w:rsidR="00000000" w:rsidDel="00000000" w:rsidP="00000000" w:rsidRDefault="00000000" w:rsidRPr="00000000" w14:paraId="0000011E">
      <w:pPr>
        <w:spacing w:after="200" w:line="240" w:lineRule="auto"/>
        <w:rPr>
          <w:sz w:val="20"/>
          <w:szCs w:val="20"/>
        </w:rPr>
      </w:pPr>
      <w:r w:rsidDel="00000000" w:rsidR="00000000" w:rsidRPr="00000000">
        <w:rPr>
          <w:sz w:val="20"/>
          <w:szCs w:val="20"/>
          <w:rtl w:val="0"/>
        </w:rPr>
        <w:t xml:space="preserve">• ATE Naive estimado Mens E-Mail vs. controle: </w:t>
      </w:r>
      <w:commentRangeStart w:id="1"/>
      <w:r w:rsidDel="00000000" w:rsidR="00000000" w:rsidRPr="00000000">
        <w:rPr>
          <w:sz w:val="20"/>
          <w:szCs w:val="20"/>
          <w:rtl w:val="0"/>
        </w:rPr>
        <w:t xml:space="preserve">0,0125 - 0,0057</w:t>
      </w:r>
      <w:commentRangeEnd w:id="1"/>
      <w:r w:rsidDel="00000000" w:rsidR="00000000" w:rsidRPr="00000000">
        <w:commentReference w:id="1"/>
      </w:r>
      <w:r w:rsidDel="00000000" w:rsidR="00000000" w:rsidRPr="00000000">
        <w:rPr>
          <w:sz w:val="20"/>
          <w:szCs w:val="20"/>
          <w:rtl w:val="0"/>
        </w:rPr>
        <w:t xml:space="preserve"> =  0,0068</w:t>
      </w:r>
    </w:p>
    <w:p w:rsidR="00000000" w:rsidDel="00000000" w:rsidP="00000000" w:rsidRDefault="00000000" w:rsidRPr="00000000" w14:paraId="0000011F">
      <w:pPr>
        <w:spacing w:after="200" w:line="240" w:lineRule="auto"/>
        <w:rPr>
          <w:sz w:val="20"/>
          <w:szCs w:val="20"/>
        </w:rPr>
      </w:pPr>
      <w:r w:rsidDel="00000000" w:rsidR="00000000" w:rsidRPr="00000000">
        <w:rPr>
          <w:sz w:val="20"/>
          <w:szCs w:val="20"/>
          <w:rtl w:val="0"/>
        </w:rPr>
        <w:t xml:space="preserve">• ATE Naive estimado Womens E-Mail vs. controle: 0,0088 - 0,0057 = 0,0031</w:t>
      </w:r>
    </w:p>
    <w:p w:rsidR="00000000" w:rsidDel="00000000" w:rsidP="00000000" w:rsidRDefault="00000000" w:rsidRPr="00000000" w14:paraId="00000120">
      <w:pPr>
        <w:spacing w:after="200" w:line="240" w:lineRule="auto"/>
        <w:rPr>
          <w:sz w:val="20"/>
          <w:szCs w:val="20"/>
        </w:rPr>
      </w:pPr>
      <w:r w:rsidDel="00000000" w:rsidR="00000000" w:rsidRPr="00000000">
        <w:rPr>
          <w:sz w:val="20"/>
          <w:szCs w:val="20"/>
          <w:rtl w:val="0"/>
        </w:rPr>
        <w:t xml:space="preserve">Ambas as campanhas apresentam ATE Naive estimado positivo em relação ao grupo controle, sendo o efeito da campanha Mens E-Mail superior ao da campanha Womens E-Mail. </w:t>
      </w:r>
    </w:p>
    <w:p w:rsidR="00000000" w:rsidDel="00000000" w:rsidP="00000000" w:rsidRDefault="00000000" w:rsidRPr="00000000" w14:paraId="00000121">
      <w:pPr>
        <w:pStyle w:val="Heading2"/>
        <w:keepNext w:val="0"/>
        <w:keepLines w:val="0"/>
        <w:spacing w:after="200" w:before="300" w:line="240" w:lineRule="auto"/>
        <w:rPr>
          <w:sz w:val="20"/>
          <w:szCs w:val="20"/>
        </w:rPr>
      </w:pPr>
      <w:bookmarkStart w:colFirst="0" w:colLast="0" w:name="_ym0wppvrmkqb" w:id="1"/>
      <w:bookmarkEnd w:id="1"/>
      <w:r w:rsidDel="00000000" w:rsidR="00000000" w:rsidRPr="00000000">
        <w:rPr>
          <w:sz w:val="20"/>
          <w:szCs w:val="20"/>
          <w:rtl w:val="0"/>
        </w:rPr>
        <w:t xml:space="preserve">3.3.4 Indícios preliminares de heterogeneidade dos efeitos</w:t>
      </w:r>
    </w:p>
    <w:p w:rsidR="00000000" w:rsidDel="00000000" w:rsidP="00000000" w:rsidRDefault="00000000" w:rsidRPr="00000000" w14:paraId="00000122">
      <w:pPr>
        <w:spacing w:after="200" w:line="240" w:lineRule="auto"/>
        <w:rPr>
          <w:sz w:val="20"/>
          <w:szCs w:val="20"/>
        </w:rPr>
      </w:pPr>
      <w:r w:rsidDel="00000000" w:rsidR="00000000" w:rsidRPr="00000000">
        <w:rPr>
          <w:sz w:val="20"/>
          <w:szCs w:val="20"/>
          <w:rtl w:val="0"/>
        </w:rPr>
        <w:t xml:space="preserve">O efeito médio apresentado na seção anterior descreve a resposta agregada da base às campanhas, mas não informa se essa resposta é homogênea entre os clientes. Para verificar a existência de variação, calculamos novamente a média condicional da conversão, desta vez condicionando não apenas ao grupo de campanha, mas também a uma covariável. Cada célula das Tabelas 5 e 7 corresponde, assim, à estimativa amostral de </w:t>
      </w:r>
      <m:oMath>
        <m:r>
          <w:rPr>
            <w:i w:val="1"/>
            <w:iCs w:val="1"/>
            <w:sz w:val="20"/>
            <w:szCs w:val="20"/>
          </w:rPr>
          <m:t xml:space="preserve">E[Y | Xⱼ = xⱼ , T = t]</m:t>
        </m:r>
      </m:oMath>
      <w:r w:rsidDel="00000000" w:rsidR="00000000" w:rsidRPr="00000000">
        <w:rPr>
          <w:rtl w:val="0"/>
        </w:rPr>
      </w:r>
    </w:p>
    <w:p w:rsidR="00000000" w:rsidDel="00000000" w:rsidP="00000000" w:rsidRDefault="00000000" w:rsidRPr="00000000" w14:paraId="00000123">
      <w:pPr>
        <w:spacing w:after="200" w:before="200"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24">
      <w:pPr>
        <w:spacing w:after="200" w:line="240" w:lineRule="auto"/>
        <w:rPr>
          <w:sz w:val="20"/>
          <w:szCs w:val="20"/>
        </w:rPr>
      </w:pPr>
      <w:r w:rsidDel="00000000" w:rsidR="00000000" w:rsidRPr="00000000">
        <w:rPr>
          <w:sz w:val="20"/>
          <w:szCs w:val="20"/>
          <w:rtl w:val="0"/>
        </w:rPr>
        <w:t xml:space="preserve">isto é, à proporção de conversões observada entre os clientes que apresentam simultaneamente determinado valor xⱼ da covariável Xⱼ e determinado grupo de campanha t.</w:t>
      </w:r>
    </w:p>
    <w:p w:rsidR="00000000" w:rsidDel="00000000" w:rsidP="00000000" w:rsidRDefault="00000000" w:rsidRPr="00000000" w14:paraId="00000125">
      <w:pPr>
        <w:spacing w:after="200" w:line="240" w:lineRule="auto"/>
        <w:rPr>
          <w:sz w:val="20"/>
          <w:szCs w:val="20"/>
        </w:rPr>
      </w:pPr>
      <w:r w:rsidDel="00000000" w:rsidR="00000000" w:rsidRPr="00000000">
        <w:rPr>
          <w:sz w:val="20"/>
          <w:szCs w:val="20"/>
          <w:rtl w:val="0"/>
        </w:rPr>
        <w:t xml:space="preserve">Tabela 5: Média condicional da conversão por tipo de região e grupo de campanha.</w:t>
      </w:r>
    </w:p>
    <w:tbl>
      <w:tblPr>
        <w:tblStyle w:val="Table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05"/>
        <w:gridCol w:w="1905"/>
        <w:gridCol w:w="2100"/>
        <w:tblGridChange w:id="0">
          <w:tblGrid>
            <w:gridCol w:w="2385"/>
            <w:gridCol w:w="1905"/>
            <w:gridCol w:w="1905"/>
            <w:gridCol w:w="21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26">
            <w:pPr>
              <w:spacing w:line="240" w:lineRule="auto"/>
              <w:jc w:val="left"/>
              <w:rPr>
                <w:b w:val="1"/>
                <w:bCs w:val="1"/>
                <w:sz w:val="20"/>
                <w:szCs w:val="20"/>
              </w:rPr>
            </w:pPr>
            <w:r w:rsidDel="00000000" w:rsidR="00000000" w:rsidRPr="00000000">
              <w:rPr>
                <w:b w:val="1"/>
                <w:bCs w:val="1"/>
                <w:sz w:val="20"/>
                <w:szCs w:val="20"/>
                <w:rtl w:val="0"/>
              </w:rPr>
              <w:t xml:space="preserve">Tipo de região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27">
            <w:pPr>
              <w:spacing w:line="240" w:lineRule="auto"/>
              <w:jc w:val="center"/>
              <w:rPr>
                <w:b w:val="1"/>
                <w:bCs w:val="1"/>
                <w:sz w:val="20"/>
                <w:szCs w:val="20"/>
              </w:rPr>
            </w:pPr>
            <w:r w:rsidDel="00000000" w:rsidR="00000000" w:rsidRPr="00000000">
              <w:rPr>
                <w:b w:val="1"/>
                <w:bCs w:val="1"/>
                <w:sz w:val="20"/>
                <w:szCs w:val="20"/>
                <w:rtl w:val="0"/>
              </w:rPr>
              <w:t xml:space="preserve">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28">
            <w:pPr>
              <w:spacing w:line="240" w:lineRule="auto"/>
              <w:jc w:val="center"/>
              <w:rPr>
                <w:b w:val="1"/>
                <w:bCs w:val="1"/>
                <w:sz w:val="20"/>
                <w:szCs w:val="20"/>
              </w:rPr>
            </w:pPr>
            <w:r w:rsidDel="00000000" w:rsidR="00000000" w:rsidRPr="00000000">
              <w:rPr>
                <w:b w:val="1"/>
                <w:bCs w:val="1"/>
                <w:sz w:val="20"/>
                <w:szCs w:val="20"/>
                <w:rtl w:val="0"/>
              </w:rPr>
              <w:t xml:space="preserve">Womens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29">
            <w:pPr>
              <w:spacing w:line="240" w:lineRule="auto"/>
              <w:jc w:val="center"/>
              <w:rPr>
                <w:b w:val="1"/>
                <w:bCs w:val="1"/>
                <w:sz w:val="20"/>
                <w:szCs w:val="20"/>
              </w:rPr>
            </w:pPr>
            <w:r w:rsidDel="00000000" w:rsidR="00000000" w:rsidRPr="00000000">
              <w:rPr>
                <w:b w:val="1"/>
                <w:bCs w:val="1"/>
                <w:sz w:val="20"/>
                <w:szCs w:val="20"/>
                <w:rtl w:val="0"/>
              </w:rPr>
              <w:t xml:space="preserve">No E-Mail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A">
            <w:pPr>
              <w:spacing w:line="240" w:lineRule="auto"/>
              <w:jc w:val="left"/>
              <w:rPr>
                <w:sz w:val="20"/>
                <w:szCs w:val="20"/>
              </w:rPr>
            </w:pPr>
            <w:r w:rsidDel="00000000" w:rsidR="00000000" w:rsidRPr="00000000">
              <w:rPr>
                <w:sz w:val="20"/>
                <w:szCs w:val="20"/>
                <w:rtl w:val="0"/>
              </w:rPr>
              <w:t xml:space="preserve">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B">
            <w:pPr>
              <w:spacing w:line="240" w:lineRule="auto"/>
              <w:jc w:val="center"/>
              <w:rPr>
                <w:sz w:val="20"/>
                <w:szCs w:val="20"/>
              </w:rPr>
            </w:pPr>
            <w:r w:rsidDel="00000000" w:rsidR="00000000" w:rsidRPr="00000000">
              <w:rPr>
                <w:sz w:val="20"/>
                <w:szCs w:val="20"/>
                <w:rtl w:val="0"/>
              </w:rPr>
              <w:t xml:space="preserve">0,0136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spacing w:line="240" w:lineRule="auto"/>
              <w:jc w:val="center"/>
              <w:rPr>
                <w:sz w:val="20"/>
                <w:szCs w:val="20"/>
              </w:rPr>
            </w:pPr>
            <w:r w:rsidDel="00000000" w:rsidR="00000000" w:rsidRPr="00000000">
              <w:rPr>
                <w:sz w:val="20"/>
                <w:szCs w:val="20"/>
                <w:rtl w:val="0"/>
              </w:rPr>
              <w:t xml:space="preserve">0,0116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D">
            <w:pPr>
              <w:spacing w:line="240" w:lineRule="auto"/>
              <w:jc w:val="center"/>
              <w:rPr>
                <w:sz w:val="20"/>
                <w:szCs w:val="20"/>
              </w:rPr>
            </w:pPr>
            <w:r w:rsidDel="00000000" w:rsidR="00000000" w:rsidRPr="00000000">
              <w:rPr>
                <w:sz w:val="20"/>
                <w:szCs w:val="20"/>
                <w:rtl w:val="0"/>
              </w:rPr>
              <w:t xml:space="preserve">0,0083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E">
            <w:pPr>
              <w:spacing w:line="240" w:lineRule="auto"/>
              <w:jc w:val="left"/>
              <w:rPr>
                <w:sz w:val="20"/>
                <w:szCs w:val="20"/>
              </w:rPr>
            </w:pPr>
            <w:r w:rsidDel="00000000" w:rsidR="00000000" w:rsidRPr="00000000">
              <w:rPr>
                <w:sz w:val="20"/>
                <w:szCs w:val="20"/>
                <w:rtl w:val="0"/>
              </w:rPr>
              <w:t xml:space="preserve">Surburban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F">
            <w:pPr>
              <w:spacing w:line="240" w:lineRule="auto"/>
              <w:jc w:val="center"/>
              <w:rPr>
                <w:sz w:val="20"/>
                <w:szCs w:val="20"/>
              </w:rPr>
            </w:pPr>
            <w:r w:rsidDel="00000000" w:rsidR="00000000" w:rsidRPr="00000000">
              <w:rPr>
                <w:sz w:val="20"/>
                <w:szCs w:val="20"/>
                <w:rtl w:val="0"/>
              </w:rPr>
              <w:t xml:space="preserve">0,0124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0,0076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0,0050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2">
            <w:pPr>
              <w:spacing w:line="240" w:lineRule="auto"/>
              <w:jc w:val="left"/>
              <w:rPr>
                <w:sz w:val="20"/>
                <w:szCs w:val="20"/>
              </w:rPr>
            </w:pPr>
            <w:r w:rsidDel="00000000" w:rsidR="00000000" w:rsidRPr="00000000">
              <w:rPr>
                <w:sz w:val="20"/>
                <w:szCs w:val="20"/>
                <w:rtl w:val="0"/>
              </w:rPr>
              <w:t xml:space="preserve">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sz w:val="20"/>
                <w:szCs w:val="20"/>
                <w:rtl w:val="0"/>
              </w:rPr>
              <w:t xml:space="preserve">0,0123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0,0092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0,0056</w:t>
            </w:r>
          </w:p>
        </w:tc>
      </w:tr>
    </w:tbl>
    <w:p w:rsidR="00000000" w:rsidDel="00000000" w:rsidP="00000000" w:rsidRDefault="00000000" w:rsidRPr="00000000" w14:paraId="00000136">
      <w:pPr>
        <w:spacing w:after="200" w:line="240" w:lineRule="auto"/>
        <w:jc w:val="left"/>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37">
      <w:pPr>
        <w:spacing w:after="200" w:line="240" w:lineRule="auto"/>
        <w:rPr>
          <w:i w:val="1"/>
          <w:iCs w:val="1"/>
          <w:sz w:val="20"/>
          <w:szCs w:val="20"/>
        </w:rPr>
      </w:pPr>
      <w:r w:rsidDel="00000000" w:rsidR="00000000" w:rsidRPr="00000000">
        <w:rPr>
          <w:sz w:val="20"/>
          <w:szCs w:val="20"/>
          <w:rtl w:val="0"/>
        </w:rPr>
        <w:t xml:space="preserve">Em seguida, tomamos a diferença entre a média condicional de cada grupo tratado e a do grupo controle, dentro de cada valor da covariável </w:t>
      </w:r>
      <m:oMath>
        <m:r>
          <w:rPr>
            <w:i w:val="1"/>
            <w:iCs w:val="1"/>
            <w:sz w:val="20"/>
            <w:szCs w:val="20"/>
          </w:rPr>
          <m:t xml:space="preserve">E[Y | Xⱼ = xⱼ , T = t] − E[Y | Xⱼ = xⱼ , T = 0]</m:t>
        </m:r>
      </m:oMath>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38">
      <w:pPr>
        <w:spacing w:after="200" w:line="240" w:lineRule="auto"/>
        <w:rPr>
          <w:sz w:val="20"/>
          <w:szCs w:val="20"/>
        </w:rPr>
      </w:pPr>
      <w:r w:rsidDel="00000000" w:rsidR="00000000" w:rsidRPr="00000000">
        <w:rPr>
          <w:sz w:val="20"/>
          <w:szCs w:val="20"/>
          <w:rtl w:val="0"/>
        </w:rPr>
        <w:t xml:space="preserve">A Tabela 6 apresenta o resultado dessa operação para a covariável tipo de região.</w:t>
      </w:r>
    </w:p>
    <w:p w:rsidR="00000000" w:rsidDel="00000000" w:rsidP="00000000" w:rsidRDefault="00000000" w:rsidRPr="00000000" w14:paraId="00000139">
      <w:pPr>
        <w:spacing w:after="200" w:line="240" w:lineRule="auto"/>
        <w:rPr>
          <w:sz w:val="20"/>
          <w:szCs w:val="20"/>
        </w:rPr>
      </w:pPr>
      <w:r w:rsidDel="00000000" w:rsidR="00000000" w:rsidRPr="00000000">
        <w:rPr>
          <w:sz w:val="20"/>
          <w:szCs w:val="20"/>
          <w:rtl w:val="0"/>
        </w:rPr>
        <w:t xml:space="preserve">Tabela 6: Diferença entre as médias condicionais de conversão, por tipo de região, em relação ao grupo controle.</w:t>
      </w:r>
    </w:p>
    <w:tbl>
      <w:tblPr>
        <w:tblStyle w:val="Table1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100"/>
        <w:gridCol w:w="2100"/>
        <w:tblGridChange w:id="0">
          <w:tblGrid>
            <w:gridCol w:w="2595"/>
            <w:gridCol w:w="2100"/>
            <w:gridCol w:w="21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A">
            <w:pPr>
              <w:spacing w:line="240" w:lineRule="auto"/>
              <w:jc w:val="left"/>
              <w:rPr>
                <w:b w:val="1"/>
                <w:bCs w:val="1"/>
                <w:sz w:val="20"/>
                <w:szCs w:val="20"/>
              </w:rPr>
            </w:pPr>
            <w:r w:rsidDel="00000000" w:rsidR="00000000" w:rsidRPr="00000000">
              <w:rPr>
                <w:b w:val="1"/>
                <w:bCs w:val="1"/>
                <w:sz w:val="20"/>
                <w:szCs w:val="20"/>
                <w:rtl w:val="0"/>
              </w:rPr>
              <w:t xml:space="preserve">Tipo de região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B">
            <w:pPr>
              <w:spacing w:line="240" w:lineRule="auto"/>
              <w:jc w:val="center"/>
              <w:rPr>
                <w:b w:val="1"/>
                <w:bCs w:val="1"/>
                <w:sz w:val="20"/>
                <w:szCs w:val="20"/>
              </w:rPr>
            </w:pPr>
            <w:r w:rsidDel="00000000" w:rsidR="00000000" w:rsidRPr="00000000">
              <w:rPr>
                <w:b w:val="1"/>
                <w:bCs w:val="1"/>
                <w:sz w:val="20"/>
                <w:szCs w:val="20"/>
                <w:rtl w:val="0"/>
              </w:rPr>
              <w:t xml:space="preserve">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3C">
            <w:pPr>
              <w:spacing w:line="240" w:lineRule="auto"/>
              <w:jc w:val="center"/>
              <w:rPr>
                <w:b w:val="1"/>
                <w:bCs w:val="1"/>
                <w:sz w:val="20"/>
                <w:szCs w:val="20"/>
              </w:rPr>
            </w:pPr>
            <w:r w:rsidDel="00000000" w:rsidR="00000000" w:rsidRPr="00000000">
              <w:rPr>
                <w:b w:val="1"/>
                <w:bCs w:val="1"/>
                <w:sz w:val="20"/>
                <w:szCs w:val="20"/>
                <w:rtl w:val="0"/>
              </w:rPr>
              <w:t xml:space="preserve">Womens E-Mail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D">
            <w:pPr>
              <w:spacing w:line="240" w:lineRule="auto"/>
              <w:jc w:val="left"/>
              <w:rPr>
                <w:sz w:val="20"/>
                <w:szCs w:val="20"/>
              </w:rPr>
            </w:pPr>
            <w:r w:rsidDel="00000000" w:rsidR="00000000" w:rsidRPr="00000000">
              <w:rPr>
                <w:sz w:val="20"/>
                <w:szCs w:val="20"/>
                <w:rtl w:val="0"/>
              </w:rPr>
              <w:t xml:space="preserve">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0,0053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0,0033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0">
            <w:pPr>
              <w:spacing w:line="240" w:lineRule="auto"/>
              <w:jc w:val="left"/>
              <w:rPr>
                <w:sz w:val="20"/>
                <w:szCs w:val="20"/>
              </w:rPr>
            </w:pPr>
            <w:r w:rsidDel="00000000" w:rsidR="00000000" w:rsidRPr="00000000">
              <w:rPr>
                <w:sz w:val="20"/>
                <w:szCs w:val="20"/>
                <w:rtl w:val="0"/>
              </w:rPr>
              <w:t xml:space="preserve">Surburban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0,0074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0,0026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3">
            <w:pPr>
              <w:spacing w:line="240" w:lineRule="auto"/>
              <w:jc w:val="left"/>
              <w:rPr>
                <w:sz w:val="20"/>
                <w:szCs w:val="20"/>
              </w:rPr>
            </w:pPr>
            <w:r w:rsidDel="00000000" w:rsidR="00000000" w:rsidRPr="00000000">
              <w:rPr>
                <w:sz w:val="20"/>
                <w:szCs w:val="20"/>
                <w:rtl w:val="0"/>
              </w:rPr>
              <w:t xml:space="preserve">Urban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0,0066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0,0036</w:t>
            </w:r>
          </w:p>
        </w:tc>
      </w:tr>
    </w:tbl>
    <w:p w:rsidR="00000000" w:rsidDel="00000000" w:rsidP="00000000" w:rsidRDefault="00000000" w:rsidRPr="00000000" w14:paraId="00000146">
      <w:pPr>
        <w:spacing w:after="200" w:line="240" w:lineRule="auto"/>
        <w:jc w:val="left"/>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47">
      <w:pPr>
        <w:spacing w:after="200" w:line="240" w:lineRule="auto"/>
        <w:rPr>
          <w:sz w:val="20"/>
          <w:szCs w:val="20"/>
        </w:rPr>
      </w:pPr>
      <w:r w:rsidDel="00000000" w:rsidR="00000000" w:rsidRPr="00000000">
        <w:rPr>
          <w:sz w:val="20"/>
          <w:szCs w:val="20"/>
          <w:rtl w:val="0"/>
        </w:rPr>
        <w:t xml:space="preserve">Observamos que a região Rural apresenta a maior média de conversão no grupo controle (0,0083), o que indica maior propensão à compra independentemente do envio da campanha. Apesar disso, a diferença associada à campanha Mens E-Mail nessa região (0,0053) é a menor entre os três estratos, ao passo que a região Surburban, que apresenta a menor média no controle (0,0050), registra a maior diferença para essa mesma campanha (0,0074). Esse contraste ilustra que o patamar de conversão observado na ausência de tratamento e a magnitude da resposta ao tratamento são dimensões distintas, o que sustenta a distinção entre modelos preditivos de resposta e modelos de estimação de efeitos causais discutida na Seção 1.</w:t>
      </w:r>
    </w:p>
    <w:p w:rsidR="00000000" w:rsidDel="00000000" w:rsidP="00000000" w:rsidRDefault="00000000" w:rsidRPr="00000000" w14:paraId="00000148">
      <w:pPr>
        <w:spacing w:after="200" w:line="240" w:lineRule="auto"/>
        <w:rPr>
          <w:sz w:val="20"/>
          <w:szCs w:val="20"/>
        </w:rPr>
      </w:pPr>
      <w:r w:rsidDel="00000000" w:rsidR="00000000" w:rsidRPr="00000000">
        <w:rPr>
          <w:sz w:val="20"/>
          <w:szCs w:val="20"/>
          <w:rtl w:val="0"/>
        </w:rPr>
        <w:t xml:space="preserve">Procedemos de forma análoga para a covariável canal de compra.</w:t>
      </w:r>
    </w:p>
    <w:p w:rsidR="00000000" w:rsidDel="00000000" w:rsidP="00000000" w:rsidRDefault="00000000" w:rsidRPr="00000000" w14:paraId="00000149">
      <w:pPr>
        <w:spacing w:after="200" w:line="240" w:lineRule="auto"/>
        <w:rPr>
          <w:sz w:val="20"/>
          <w:szCs w:val="20"/>
        </w:rPr>
      </w:pPr>
      <w:r w:rsidDel="00000000" w:rsidR="00000000" w:rsidRPr="00000000">
        <w:rPr>
          <w:sz w:val="20"/>
          <w:szCs w:val="20"/>
          <w:rtl w:val="0"/>
        </w:rPr>
        <w:t xml:space="preserve">Tabela 7: Média condicional da conversão por canal de compra e grupo de campanha.</w:t>
      </w:r>
    </w:p>
    <w:tbl>
      <w:tblPr>
        <w:tblStyle w:val="Table1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890"/>
        <w:gridCol w:w="1905"/>
        <w:gridCol w:w="2085"/>
        <w:tblGridChange w:id="0">
          <w:tblGrid>
            <w:gridCol w:w="2400"/>
            <w:gridCol w:w="1890"/>
            <w:gridCol w:w="1905"/>
            <w:gridCol w:w="20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A">
            <w:pPr>
              <w:spacing w:line="240" w:lineRule="auto"/>
              <w:jc w:val="left"/>
              <w:rPr>
                <w:b w:val="1"/>
                <w:bCs w:val="1"/>
                <w:sz w:val="20"/>
                <w:szCs w:val="20"/>
              </w:rPr>
            </w:pPr>
            <w:r w:rsidDel="00000000" w:rsidR="00000000" w:rsidRPr="00000000">
              <w:rPr>
                <w:b w:val="1"/>
                <w:bCs w:val="1"/>
                <w:sz w:val="20"/>
                <w:szCs w:val="20"/>
                <w:rtl w:val="0"/>
              </w:rPr>
              <w:t xml:space="preserve">Canal de compra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B">
            <w:pPr>
              <w:spacing w:line="240" w:lineRule="auto"/>
              <w:jc w:val="center"/>
              <w:rPr>
                <w:b w:val="1"/>
                <w:bCs w:val="1"/>
                <w:sz w:val="20"/>
                <w:szCs w:val="20"/>
              </w:rPr>
            </w:pPr>
            <w:r w:rsidDel="00000000" w:rsidR="00000000" w:rsidRPr="00000000">
              <w:rPr>
                <w:b w:val="1"/>
                <w:bCs w:val="1"/>
                <w:sz w:val="20"/>
                <w:szCs w:val="20"/>
                <w:rtl w:val="0"/>
              </w:rPr>
              <w:t xml:space="preserve">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C">
            <w:pPr>
              <w:spacing w:line="240" w:lineRule="auto"/>
              <w:jc w:val="center"/>
              <w:rPr>
                <w:b w:val="1"/>
                <w:bCs w:val="1"/>
                <w:sz w:val="20"/>
                <w:szCs w:val="20"/>
              </w:rPr>
            </w:pPr>
            <w:r w:rsidDel="00000000" w:rsidR="00000000" w:rsidRPr="00000000">
              <w:rPr>
                <w:b w:val="1"/>
                <w:bCs w:val="1"/>
                <w:sz w:val="20"/>
                <w:szCs w:val="20"/>
                <w:rtl w:val="0"/>
              </w:rPr>
              <w:t xml:space="preserve">Womens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D">
            <w:pPr>
              <w:spacing w:line="240" w:lineRule="auto"/>
              <w:jc w:val="center"/>
              <w:rPr>
                <w:b w:val="1"/>
                <w:bCs w:val="1"/>
                <w:sz w:val="20"/>
                <w:szCs w:val="20"/>
              </w:rPr>
            </w:pPr>
            <w:r w:rsidDel="00000000" w:rsidR="00000000" w:rsidRPr="00000000">
              <w:rPr>
                <w:b w:val="1"/>
                <w:bCs w:val="1"/>
                <w:sz w:val="20"/>
                <w:szCs w:val="20"/>
                <w:rtl w:val="0"/>
              </w:rPr>
              <w:t xml:space="preserve">No E-Mail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E">
            <w:pPr>
              <w:spacing w:line="240" w:lineRule="auto"/>
              <w:jc w:val="left"/>
              <w:rPr>
                <w:sz w:val="20"/>
                <w:szCs w:val="20"/>
              </w:rPr>
            </w:pPr>
            <w:r w:rsidDel="00000000" w:rsidR="00000000" w:rsidRPr="00000000">
              <w:rPr>
                <w:sz w:val="20"/>
                <w:szCs w:val="20"/>
                <w:rtl w:val="0"/>
              </w:rPr>
              <w:t xml:space="preserve">Multichannel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0,0171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0">
            <w:pPr>
              <w:spacing w:line="240" w:lineRule="auto"/>
              <w:jc w:val="center"/>
              <w:rPr>
                <w:sz w:val="20"/>
                <w:szCs w:val="20"/>
              </w:rPr>
            </w:pPr>
            <w:r w:rsidDel="00000000" w:rsidR="00000000" w:rsidRPr="00000000">
              <w:rPr>
                <w:sz w:val="20"/>
                <w:szCs w:val="20"/>
                <w:rtl w:val="0"/>
              </w:rPr>
              <w:t xml:space="preserve">0,0140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0,0069</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spacing w:line="240" w:lineRule="auto"/>
              <w:jc w:val="left"/>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0,0108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0,0071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0,0054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6">
            <w:pPr>
              <w:spacing w:line="240" w:lineRule="auto"/>
              <w:jc w:val="left"/>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0,0130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0,0092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0,0058</w:t>
            </w:r>
          </w:p>
        </w:tc>
      </w:tr>
    </w:tbl>
    <w:p w:rsidR="00000000" w:rsidDel="00000000" w:rsidP="00000000" w:rsidRDefault="00000000" w:rsidRPr="00000000" w14:paraId="0000015A">
      <w:pPr>
        <w:spacing w:after="200" w:line="240" w:lineRule="auto"/>
        <w:jc w:val="left"/>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5B">
      <w:pPr>
        <w:spacing w:after="200" w:line="240" w:lineRule="auto"/>
        <w:rPr>
          <w:i w:val="1"/>
          <w:iCs w:val="1"/>
          <w:sz w:val="20"/>
          <w:szCs w:val="20"/>
        </w:rPr>
      </w:pPr>
      <w:r w:rsidDel="00000000" w:rsidR="00000000" w:rsidRPr="00000000">
        <w:rPr>
          <w:sz w:val="20"/>
          <w:szCs w:val="20"/>
          <w:rtl w:val="0"/>
        </w:rPr>
        <w:t xml:space="preserve">Tabela 8: Diferença entre as médias condicionais de conversão, por canal de compra, em relação ao grupo controle</w:t>
      </w:r>
      <w:r w:rsidDel="00000000" w:rsidR="00000000" w:rsidRPr="00000000">
        <w:rPr>
          <w:i w:val="1"/>
          <w:iCs w:val="1"/>
          <w:sz w:val="20"/>
          <w:szCs w:val="20"/>
          <w:rtl w:val="0"/>
        </w:rPr>
        <w:t xml:space="preserve">.</w:t>
      </w:r>
    </w:p>
    <w:tbl>
      <w:tblPr>
        <w:tblStyle w:val="Table1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100"/>
        <w:gridCol w:w="2100"/>
        <w:tblGridChange w:id="0">
          <w:tblGrid>
            <w:gridCol w:w="2595"/>
            <w:gridCol w:w="2100"/>
            <w:gridCol w:w="21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5C">
            <w:pPr>
              <w:spacing w:line="240" w:lineRule="auto"/>
              <w:jc w:val="left"/>
              <w:rPr>
                <w:b w:val="1"/>
                <w:bCs w:val="1"/>
                <w:sz w:val="20"/>
                <w:szCs w:val="20"/>
              </w:rPr>
            </w:pPr>
            <w:r w:rsidDel="00000000" w:rsidR="00000000" w:rsidRPr="00000000">
              <w:rPr>
                <w:b w:val="1"/>
                <w:bCs w:val="1"/>
                <w:sz w:val="20"/>
                <w:szCs w:val="20"/>
                <w:rtl w:val="0"/>
              </w:rPr>
              <w:t xml:space="preserve">Canal de compra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5D">
            <w:pPr>
              <w:spacing w:line="240" w:lineRule="auto"/>
              <w:jc w:val="center"/>
              <w:rPr>
                <w:b w:val="1"/>
                <w:bCs w:val="1"/>
                <w:sz w:val="20"/>
                <w:szCs w:val="20"/>
              </w:rPr>
            </w:pPr>
            <w:r w:rsidDel="00000000" w:rsidR="00000000" w:rsidRPr="00000000">
              <w:rPr>
                <w:b w:val="1"/>
                <w:bCs w:val="1"/>
                <w:sz w:val="20"/>
                <w:szCs w:val="20"/>
                <w:rtl w:val="0"/>
              </w:rPr>
              <w:t xml:space="preserve">Mens E-Mail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5E">
            <w:pPr>
              <w:spacing w:line="240" w:lineRule="auto"/>
              <w:jc w:val="center"/>
              <w:rPr>
                <w:b w:val="1"/>
                <w:bCs w:val="1"/>
                <w:sz w:val="20"/>
                <w:szCs w:val="20"/>
              </w:rPr>
            </w:pPr>
            <w:r w:rsidDel="00000000" w:rsidR="00000000" w:rsidRPr="00000000">
              <w:rPr>
                <w:b w:val="1"/>
                <w:bCs w:val="1"/>
                <w:sz w:val="20"/>
                <w:szCs w:val="20"/>
                <w:rtl w:val="0"/>
              </w:rPr>
              <w:t xml:space="preserve">Womens E-Mail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F">
            <w:pPr>
              <w:spacing w:line="240" w:lineRule="auto"/>
              <w:jc w:val="left"/>
              <w:rPr>
                <w:sz w:val="20"/>
                <w:szCs w:val="20"/>
              </w:rPr>
            </w:pPr>
            <w:r w:rsidDel="00000000" w:rsidR="00000000" w:rsidRPr="00000000">
              <w:rPr>
                <w:sz w:val="20"/>
                <w:szCs w:val="20"/>
                <w:rtl w:val="0"/>
              </w:rPr>
              <w:t xml:space="preserve">Multichannel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spacing w:line="240" w:lineRule="auto"/>
              <w:jc w:val="center"/>
              <w:rPr>
                <w:sz w:val="20"/>
                <w:szCs w:val="20"/>
              </w:rPr>
            </w:pPr>
            <w:r w:rsidDel="00000000" w:rsidR="00000000" w:rsidRPr="00000000">
              <w:rPr>
                <w:sz w:val="20"/>
                <w:szCs w:val="20"/>
                <w:rtl w:val="0"/>
              </w:rPr>
              <w:t xml:space="preserve">0,0102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0,0071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2">
            <w:pPr>
              <w:spacing w:line="240" w:lineRule="auto"/>
              <w:jc w:val="left"/>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0,0055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spacing w:line="240" w:lineRule="auto"/>
              <w:jc w:val="center"/>
              <w:rPr>
                <w:sz w:val="20"/>
                <w:szCs w:val="20"/>
              </w:rPr>
            </w:pPr>
            <w:r w:rsidDel="00000000" w:rsidR="00000000" w:rsidRPr="00000000">
              <w:rPr>
                <w:sz w:val="20"/>
                <w:szCs w:val="20"/>
                <w:rtl w:val="0"/>
              </w:rPr>
              <w:t xml:space="preserve">0,0017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5">
            <w:pPr>
              <w:spacing w:line="240" w:lineRule="auto"/>
              <w:jc w:val="left"/>
              <w:rPr>
                <w:sz w:val="20"/>
                <w:szCs w:val="20"/>
              </w:rPr>
            </w:pPr>
            <w:r w:rsidDel="00000000" w:rsidR="00000000" w:rsidRPr="00000000">
              <w:rPr>
                <w:sz w:val="20"/>
                <w:szCs w:val="20"/>
                <w:rtl w:val="0"/>
              </w:rPr>
              <w:t xml:space="preserve">Web</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6">
            <w:pPr>
              <w:spacing w:line="240" w:lineRule="auto"/>
              <w:jc w:val="center"/>
              <w:rPr>
                <w:sz w:val="20"/>
                <w:szCs w:val="20"/>
              </w:rPr>
            </w:pPr>
            <w:r w:rsidDel="00000000" w:rsidR="00000000" w:rsidRPr="00000000">
              <w:rPr>
                <w:sz w:val="20"/>
                <w:szCs w:val="20"/>
                <w:rtl w:val="0"/>
              </w:rPr>
              <w:t xml:space="preserve">0,0072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sz w:val="20"/>
                <w:szCs w:val="20"/>
                <w:rtl w:val="0"/>
              </w:rPr>
              <w:t xml:space="preserve">0,0034</w:t>
            </w:r>
          </w:p>
        </w:tc>
      </w:tr>
    </w:tbl>
    <w:p w:rsidR="00000000" w:rsidDel="00000000" w:rsidP="00000000" w:rsidRDefault="00000000" w:rsidRPr="00000000" w14:paraId="00000168">
      <w:pPr>
        <w:spacing w:after="200" w:line="240" w:lineRule="auto"/>
        <w:jc w:val="left"/>
        <w:rPr>
          <w:sz w:val="20"/>
          <w:szCs w:val="20"/>
        </w:rPr>
      </w:pPr>
      <w:r w:rsidDel="00000000" w:rsidR="00000000" w:rsidRPr="00000000">
        <w:rPr>
          <w:sz w:val="20"/>
          <w:szCs w:val="20"/>
          <w:rtl w:val="0"/>
        </w:rPr>
        <w:t xml:space="preserve">Fonte: elaboração própria, a partir da base Hillstrom.</w:t>
      </w:r>
    </w:p>
    <w:p w:rsidR="00000000" w:rsidDel="00000000" w:rsidP="00000000" w:rsidRDefault="00000000" w:rsidRPr="00000000" w14:paraId="00000169">
      <w:pPr>
        <w:spacing w:after="200" w:line="240" w:lineRule="auto"/>
        <w:rPr>
          <w:sz w:val="20"/>
          <w:szCs w:val="20"/>
        </w:rPr>
      </w:pPr>
      <w:r w:rsidDel="00000000" w:rsidR="00000000" w:rsidRPr="00000000">
        <w:rPr>
          <w:sz w:val="20"/>
          <w:szCs w:val="20"/>
          <w:rtl w:val="0"/>
        </w:rPr>
        <w:t xml:space="preserve">A variação observada entre os estratos de canal de compra é mais acentuada. Clientes do segmento Multichannel apresentam as maiores diferenças em ambas as campanhas (0,0102 para Mens E-Mail e 0,0071 para Womens E-Mail), enquanto clientes do canal Phone registram os menores valores (0,0055 e 0,0017, respectivamente). No caso da campanha Womens E-Mail, a diferença observada no segmento Multichannel é aproximadamente quatro vezes superior à do canal Phone. Verifica-se, ainda, que a ordenação entre as duas campanhas se mantém em todos os estratos analisados, com a campanha Mens E-Mail apresentando diferença superior à da campanha Womens E-Mail em cada um deles.</w:t>
      </w:r>
    </w:p>
    <w:p w:rsidR="00000000" w:rsidDel="00000000" w:rsidP="00000000" w:rsidRDefault="00000000" w:rsidRPr="00000000" w14:paraId="0000016A">
      <w:pPr>
        <w:pStyle w:val="Heading2"/>
        <w:keepNext w:val="0"/>
        <w:keepLines w:val="0"/>
        <w:spacing w:after="200" w:before="300" w:line="240" w:lineRule="auto"/>
        <w:rPr>
          <w:sz w:val="20"/>
          <w:szCs w:val="20"/>
        </w:rPr>
      </w:pPr>
      <w:bookmarkStart w:colFirst="0" w:colLast="0" w:name="_bj3r8sm8r8tk" w:id="2"/>
      <w:bookmarkEnd w:id="2"/>
      <w:r w:rsidDel="00000000" w:rsidR="00000000" w:rsidRPr="00000000">
        <w:rPr>
          <w:sz w:val="20"/>
          <w:szCs w:val="20"/>
          <w:rtl w:val="0"/>
        </w:rPr>
        <w:t xml:space="preserve">3.3.4.1 Limitações desta análise e justificativa para a modelagem de efeitos heterogêneos</w:t>
      </w:r>
    </w:p>
    <w:p w:rsidR="00000000" w:rsidDel="00000000" w:rsidP="00000000" w:rsidRDefault="00000000" w:rsidRPr="00000000" w14:paraId="0000016B">
      <w:pPr>
        <w:spacing w:after="200" w:line="240" w:lineRule="auto"/>
        <w:rPr>
          <w:sz w:val="20"/>
          <w:szCs w:val="20"/>
        </w:rPr>
      </w:pPr>
      <w:r w:rsidDel="00000000" w:rsidR="00000000" w:rsidRPr="00000000">
        <w:rPr>
          <w:sz w:val="20"/>
          <w:szCs w:val="20"/>
          <w:rtl w:val="0"/>
        </w:rPr>
        <w:t xml:space="preserve">Os valores apresentados nesta seção constituem evidência descritiva de heterogeneidade e condicionam em uma única covariável Xⱼ por vez. A diferença reportada para cada estrato corresponde, portanto, à média dos efeitos entre os clientes que compartilham aquele valor da covariável, de modo que dois clientes pertencentes ao mesmo estrato recebem a mesma estimativa, ainda que difiram quanto à recência, ao gasto histórico ou ao histórico de compras por categoria. A estimação por meio do UDCF, por sua vez, condiciona no vetor completo de características X, produzindo </w:t>
      </w:r>
      <m:oMath>
        <m:r>
          <w:rPr>
            <w:i w:val="1"/>
            <w:iCs w:val="1"/>
            <w:sz w:val="20"/>
            <w:szCs w:val="20"/>
          </w:rPr>
          <m:t xml:space="preserve">τ̂(xᵢ) = Ê[Y(t) − Y(0) | X = xᵢ]</m:t>
        </m:r>
      </m:oMath>
      <w:r w:rsidDel="00000000" w:rsidR="00000000" w:rsidRPr="00000000">
        <w:rPr>
          <w:i w:val="1"/>
          <w:iCs w:val="1"/>
          <w:sz w:val="20"/>
          <w:szCs w:val="20"/>
          <w:rtl w:val="0"/>
        </w:rPr>
        <w:t xml:space="preserve"> </w:t>
      </w:r>
      <w:r w:rsidDel="00000000" w:rsidR="00000000" w:rsidRPr="00000000">
        <w:rPr>
          <w:sz w:val="20"/>
          <w:szCs w:val="20"/>
          <w:rtl w:val="0"/>
        </w:rPr>
        <w:t xml:space="preserve">para cada cliente i, o que viabiliza a seleção do tratamento mais adequado ao seu perfil.</w:t>
      </w:r>
    </w:p>
    <w:p w:rsidR="00000000" w:rsidDel="00000000" w:rsidP="00000000" w:rsidRDefault="00000000" w:rsidRPr="00000000" w14:paraId="0000016C">
      <w:pPr>
        <w:spacing w:after="200" w:line="240" w:lineRule="auto"/>
        <w:rPr>
          <w:sz w:val="20"/>
          <w:szCs w:val="20"/>
        </w:rPr>
      </w:pPr>
      <w:r w:rsidDel="00000000" w:rsidR="00000000" w:rsidRPr="00000000">
        <w:rPr>
          <w:sz w:val="20"/>
          <w:szCs w:val="20"/>
          <w:rtl w:val="0"/>
        </w:rPr>
        <w:t xml:space="preserve">A extensão direta do procedimento descrito nesta seção, estratificar simultaneamente pelo conjunto completo de covariáveis, não é viável neste contexto por três razões. Em primeiro lugar, o número de estratos cresce multiplicativamente com a quantidade de covariáveis e com o número de categorias de cada uma, de forma que o cruzamento apenas das cinco covariáveis categóricas da base já resultaria em setenta e dois estratos, subdivididos ainda em três grupos de campanha. Em segundo lugar, as covariáveis numéricas recência e gasto histórico não admitem estratificação exata, exigindo discretização cujos pontos de corte seriam definidos de forma arbitrária e com perda de informação. Em terceiro lugar, e de forma determinante neste caso, a conversão é um evento de baixa prevalência na base, com 578 ocorrências em 64.000 observações. A subdivisão da amostra em um número elevado de estratos produziria células com contagens de conversão muito reduzidas, tornando as estimativas instáveis e dominadas por variabilidade amostral.</w:t>
      </w:r>
    </w:p>
    <w:p w:rsidR="00000000" w:rsidDel="00000000" w:rsidP="00000000" w:rsidRDefault="00000000" w:rsidRPr="00000000" w14:paraId="0000016D">
      <w:pPr>
        <w:spacing w:after="200" w:line="240" w:lineRule="auto"/>
        <w:rPr>
          <w:sz w:val="20"/>
          <w:szCs w:val="20"/>
        </w:rPr>
      </w:pPr>
      <w:r w:rsidDel="00000000" w:rsidR="00000000" w:rsidRPr="00000000">
        <w:rPr>
          <w:sz w:val="20"/>
          <w:szCs w:val="20"/>
          <w:rtl w:val="0"/>
        </w:rPr>
        <w:t xml:space="preserve">Os métodos de estimação de efeitos heterogêneos de tratamento contornam essas limitações ao não impor uma partição fixa do espaço de características. No caso do UDCF, a partição é aprendida a partir dos dados por meio de critérios de divisão que buscam maximizar a heterogeneidade do efeito de tratamento, e não a predição do desfecho, de modo que o espaço é subdividido apenas onde há evidência de variação na resposta ao tratamento. Adicionalmente, a estimação final por mínimos quadrados ponderados, em que o peso de cada observação é dado pela frequência com que esta compartilha folha com o indivíduo de interesse ao longo das árvores da floresta, permite que observações semelhantes contribuam para a estimativa de um mesmo cliente, atenuando o problema de estratos com poucas observações. É por essa razão que a estimação dos efeitos heterogêneos neste trabalho é conduzida por meio do UDCF, tendo os meta-learners como métodos de comparação.</w:t>
      </w:r>
    </w:p>
    <w:p w:rsidR="00000000" w:rsidDel="00000000" w:rsidP="00000000" w:rsidRDefault="00000000" w:rsidRPr="00000000" w14:paraId="0000016E">
      <w:pPr>
        <w:spacing w:after="200" w:line="240" w:lineRule="auto"/>
        <w:rPr>
          <w:sz w:val="20"/>
          <w:szCs w:val="20"/>
        </w:rPr>
      </w:pPr>
      <w:r w:rsidDel="00000000" w:rsidR="00000000" w:rsidRPr="00000000">
        <w:rPr>
          <w:b w:val="1"/>
          <w:bCs w:val="1"/>
          <w:sz w:val="20"/>
          <w:szCs w:val="20"/>
          <w:rtl w:val="0"/>
        </w:rPr>
        <w:t xml:space="preserve">3.3.5 </w:t>
      </w:r>
      <w:r w:rsidDel="00000000" w:rsidR="00000000" w:rsidRPr="00000000">
        <w:rPr>
          <w:b w:val="1"/>
          <w:bCs w:val="1"/>
          <w:color w:val="1f1f1f"/>
          <w:sz w:val="20"/>
          <w:szCs w:val="20"/>
          <w:rtl w:val="0"/>
        </w:rPr>
        <w:t xml:space="preserve">Pré-processamento: codificação one-hot e construção do arquivo de entrada</w:t>
      </w:r>
      <w:r w:rsidDel="00000000" w:rsidR="00000000" w:rsidRPr="00000000">
        <w:rPr>
          <w:rtl w:val="0"/>
        </w:rPr>
      </w:r>
    </w:p>
    <w:p w:rsidR="00000000" w:rsidDel="00000000" w:rsidP="00000000" w:rsidRDefault="00000000" w:rsidRPr="00000000" w14:paraId="0000016F">
      <w:pPr>
        <w:spacing w:after="240" w:before="240" w:line="240" w:lineRule="auto"/>
        <w:rPr>
          <w:sz w:val="20"/>
          <w:szCs w:val="20"/>
        </w:rPr>
      </w:pPr>
      <w:r w:rsidDel="00000000" w:rsidR="00000000" w:rsidRPr="00000000">
        <w:rPr>
          <w:sz w:val="20"/>
          <w:szCs w:val="20"/>
          <w:rtl w:val="0"/>
        </w:rPr>
        <w:t xml:space="preserve">Como o UDCF opera sobre uma matriz numérica de covariáveis, aplicamos a codificação one-hot às duas variáveis categóricas nominais tipo de região e canal de compra, preservando sua natureza não ordinal. Evitamos a codificação ordinal por esta impor uma ordem artificial entre categorias sem hierarquia natural, o que poderia distorcer os splits da árvore causal. A variável tipo de região foi decomposta em três indicadores binários,</w:t>
      </w:r>
      <w:commentRangeStart w:id="2"/>
      <w:r w:rsidDel="00000000" w:rsidR="00000000" w:rsidRPr="00000000">
        <w:rPr>
          <w:sz w:val="20"/>
          <w:szCs w:val="20"/>
          <w:rtl w:val="0"/>
        </w:rPr>
        <w:t xml:space="preserve"> rural, suburbana e urbana</w:t>
      </w:r>
      <w:commentRangeEnd w:id="2"/>
      <w:r w:rsidDel="00000000" w:rsidR="00000000" w:rsidRPr="00000000">
        <w:commentReference w:id="2"/>
      </w:r>
      <w:r w:rsidDel="00000000" w:rsidR="00000000" w:rsidRPr="00000000">
        <w:rPr>
          <w:sz w:val="20"/>
          <w:szCs w:val="20"/>
          <w:rtl w:val="0"/>
        </w:rPr>
        <w:t xml:space="preserve">, e a variável canal de compra foi decomposta em três indicadores binários, multicanal, telefone e web. De forma semelhante, a variável de tratamento campanha foi decomposta em dois indicadores binários, campanha_masc e campanha_fem, com o grupo controle representado pela ausência de ambos os indicadores (0,0). A Tabela 9 apresenta o resultado dessa codificação.</w:t>
      </w:r>
    </w:p>
    <w:p w:rsidR="00000000" w:rsidDel="00000000" w:rsidP="00000000" w:rsidRDefault="00000000" w:rsidRPr="00000000" w14:paraId="00000170">
      <w:pPr>
        <w:spacing w:after="240" w:before="240" w:line="240" w:lineRule="auto"/>
        <w:rPr>
          <w:sz w:val="20"/>
          <w:szCs w:val="20"/>
        </w:rPr>
      </w:pPr>
      <w:r w:rsidDel="00000000" w:rsidR="00000000" w:rsidRPr="00000000">
        <w:rPr>
          <w:sz w:val="20"/>
          <w:szCs w:val="20"/>
          <w:rtl w:val="0"/>
        </w:rPr>
        <w:t xml:space="preserve">Cabe registrar que mantivemos todas as categorias de cada variável, sem descartar uma categoria de referência. Essa escolha difere da convenção adotada em modelos de regressão, nos quais a omissão de uma categoria evita colinearidade perfeita entre os indicadores. Em métodos baseados em árvores, contudo, a colinearidade não compromete a estimação, e a manutenção de todas as categorias permite que qualquer nível seja isolado por meio de uma única divisão binária, preservando a capacidade do algoritmo de identificar o estrato relevante.</w:t>
      </w:r>
    </w:p>
    <w:p w:rsidR="00000000" w:rsidDel="00000000" w:rsidP="00000000" w:rsidRDefault="00000000" w:rsidRPr="00000000" w14:paraId="00000171">
      <w:pPr>
        <w:spacing w:after="240" w:before="240" w:line="240" w:lineRule="auto"/>
        <w:rPr>
          <w:sz w:val="20"/>
          <w:szCs w:val="20"/>
        </w:rPr>
      </w:pPr>
      <w:r w:rsidDel="00000000" w:rsidR="00000000" w:rsidRPr="00000000">
        <w:rPr>
          <w:sz w:val="20"/>
          <w:szCs w:val="20"/>
          <w:rtl w:val="0"/>
        </w:rPr>
        <w:t xml:space="preserve">A matriz de entrada resultante contém onze colunas de covariáveis, além dos dois indicadores de tratamento e da variável de desfecho. Por fim, dividimos a base em conjuntos de treinamento e teste, na proporção de 80% e 20% respectivamente, preservando a proporção dos grupos de campanha por meio de amostragem estratificada e fixando a semente aleatória em </w:t>
      </w:r>
      <w:commentRangeStart w:id="3"/>
      <w:r w:rsidDel="00000000" w:rsidR="00000000" w:rsidRPr="00000000">
        <w:rPr>
          <w:sz w:val="20"/>
          <w:szCs w:val="20"/>
          <w:rtl w:val="0"/>
        </w:rPr>
        <w:t xml:space="preserve">[VALOR]</w:t>
      </w:r>
      <w:commentRangeEnd w:id="3"/>
      <w:r w:rsidDel="00000000" w:rsidR="00000000" w:rsidRPr="00000000">
        <w:commentReference w:id="3"/>
      </w:r>
      <w:r w:rsidDel="00000000" w:rsidR="00000000" w:rsidRPr="00000000">
        <w:rPr>
          <w:sz w:val="20"/>
          <w:szCs w:val="20"/>
          <w:rtl w:val="0"/>
        </w:rPr>
        <w:t xml:space="preserve"> para assegurar a reprodutibilidade. O conjunto de teste, com 12.800 observações, permite avaliar os efeitos causais estimados em observações não utilizadas durante o treinamento.  </w:t>
      </w:r>
    </w:p>
    <w:p w:rsidR="00000000" w:rsidDel="00000000" w:rsidP="00000000" w:rsidRDefault="00000000" w:rsidRPr="00000000" w14:paraId="00000172">
      <w:pPr>
        <w:spacing w:after="200" w:line="360" w:lineRule="auto"/>
        <w:rPr>
          <w:sz w:val="20"/>
          <w:szCs w:val="20"/>
        </w:rPr>
      </w:pPr>
      <w:r w:rsidDel="00000000" w:rsidR="00000000" w:rsidRPr="00000000">
        <w:rPr>
          <w:sz w:val="20"/>
          <w:szCs w:val="20"/>
          <w:rtl w:val="0"/>
        </w:rPr>
        <w:t xml:space="preserve">Tabela 9: Primeiras linhas do resultado da codificação </w:t>
      </w:r>
      <w:r w:rsidDel="00000000" w:rsidR="00000000" w:rsidRPr="00000000">
        <w:rPr>
          <w:i w:val="1"/>
          <w:iCs w:val="1"/>
          <w:sz w:val="20"/>
          <w:szCs w:val="20"/>
          <w:rtl w:val="0"/>
        </w:rPr>
        <w:t xml:space="preserve">one-hot</w:t>
      </w:r>
      <w:r w:rsidDel="00000000" w:rsidR="00000000" w:rsidRPr="00000000">
        <w:rPr>
          <w:sz w:val="20"/>
          <w:szCs w:val="20"/>
          <w:rtl w:val="0"/>
        </w:rPr>
        <w:t xml:space="preserve"> das covariáveis categóricas nominais, para a base Hillstrom.</w:t>
      </w:r>
    </w:p>
    <w:tbl>
      <w:tblPr>
        <w:tblStyle w:val="Table1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465"/>
        <w:gridCol w:w="675"/>
        <w:gridCol w:w="765"/>
        <w:gridCol w:w="690"/>
        <w:gridCol w:w="600"/>
        <w:gridCol w:w="570"/>
        <w:gridCol w:w="825"/>
        <w:gridCol w:w="555"/>
        <w:gridCol w:w="705"/>
        <w:gridCol w:w="705"/>
        <w:gridCol w:w="450"/>
        <w:gridCol w:w="480"/>
        <w:gridCol w:w="825"/>
        <w:gridCol w:w="720"/>
        <w:tblGridChange w:id="0">
          <w:tblGrid>
            <w:gridCol w:w="150"/>
            <w:gridCol w:w="465"/>
            <w:gridCol w:w="675"/>
            <w:gridCol w:w="765"/>
            <w:gridCol w:w="690"/>
            <w:gridCol w:w="600"/>
            <w:gridCol w:w="570"/>
            <w:gridCol w:w="825"/>
            <w:gridCol w:w="555"/>
            <w:gridCol w:w="705"/>
            <w:gridCol w:w="705"/>
            <w:gridCol w:w="450"/>
            <w:gridCol w:w="480"/>
            <w:gridCol w:w="825"/>
            <w:gridCol w:w="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i</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recência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gasto histórico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compra masculina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compra feminina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cliente novo</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rural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suburbana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urbana</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multicanal</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telefone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web</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Campanha_masc</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Campanha_fem</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conversão</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142.44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0</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329.08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0</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180.65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0</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675.83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0</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45.34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C">
            <w:pPr>
              <w:spacing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CD">
      <w:pPr>
        <w:spacing w:after="200" w:line="360" w:lineRule="auto"/>
        <w:rPr>
          <w:sz w:val="20"/>
          <w:szCs w:val="20"/>
        </w:rPr>
      </w:pPr>
      <w:r w:rsidDel="00000000" w:rsidR="00000000" w:rsidRPr="00000000">
        <w:rPr>
          <w:sz w:val="20"/>
          <w:szCs w:val="20"/>
          <w:rtl w:val="0"/>
        </w:rPr>
        <w:t xml:space="preserve">Fonte: elaboração própria, a partir da base original Hillstrom.</w:t>
      </w:r>
      <w:r w:rsidDel="00000000" w:rsidR="00000000" w:rsidRPr="00000000">
        <w:rPr>
          <w:rtl w:val="0"/>
        </w:rPr>
      </w:r>
    </w:p>
    <w:p w:rsidR="00000000" w:rsidDel="00000000" w:rsidP="00000000" w:rsidRDefault="00000000" w:rsidRPr="00000000" w14:paraId="000001CE">
      <w:pPr>
        <w:keepNext w:val="0"/>
        <w:keepLines w:val="0"/>
        <w:spacing w:line="24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sz w:val="20"/>
          <w:szCs w:val="20"/>
          <w:rtl w:val="0"/>
        </w:rPr>
        <w:t xml:space="preserve">.4 Estimação dos efeitos heterogêneos de tratamento com UDCF</w:t>
      </w:r>
    </w:p>
    <w:p w:rsidR="00000000" w:rsidDel="00000000" w:rsidP="00000000" w:rsidRDefault="00000000" w:rsidRPr="00000000" w14:paraId="000001CF">
      <w:pPr>
        <w:spacing w:after="240" w:before="240" w:line="240" w:lineRule="auto"/>
        <w:rPr>
          <w:sz w:val="20"/>
          <w:szCs w:val="20"/>
        </w:rPr>
      </w:pPr>
      <w:r w:rsidDel="00000000" w:rsidR="00000000" w:rsidRPr="00000000">
        <w:rPr>
          <w:sz w:val="20"/>
          <w:szCs w:val="20"/>
          <w:rtl w:val="0"/>
        </w:rPr>
        <w:t xml:space="preserve">Após o treinamento da floresta no conjunto de treinamento, obtivemos estimativas individuais do efeito de tratamento para cada cliente do conjunto de teste. Para cada indivíduo, o modelo produz duas estimativas, uma para cada campanha em relação ao grupo controle, o que permite não apenas avaliar a magnitude do efeito esperado, mas também identificar qual das duas campanhas apresenta maior efeito estimado para aquele perfil. </w:t>
      </w:r>
      <w:r w:rsidDel="00000000" w:rsidR="00000000" w:rsidRPr="00000000">
        <w:rPr>
          <w:rtl w:val="0"/>
        </w:rPr>
      </w:r>
    </w:p>
    <w:p w:rsidR="00000000" w:rsidDel="00000000" w:rsidP="00000000" w:rsidRDefault="00000000" w:rsidRPr="00000000" w14:paraId="000001D0">
      <w:pPr>
        <w:spacing w:after="240" w:before="240" w:line="360" w:lineRule="auto"/>
        <w:jc w:val="left"/>
        <w:rPr>
          <w:sz w:val="20"/>
          <w:szCs w:val="20"/>
        </w:rPr>
      </w:pPr>
      <w:r w:rsidDel="00000000" w:rsidR="00000000" w:rsidRPr="00000000">
        <w:rPr>
          <w:sz w:val="20"/>
          <w:szCs w:val="20"/>
          <w:rtl w:val="0"/>
        </w:rPr>
        <w:t xml:space="preserve">Tabela 10: Estimativas dos efeitos heterogêneos de tratamento (CATE) obtidas pelo modelo UDCF para a base Hillstrom. </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5"/>
        <w:gridCol w:w="2285"/>
        <w:gridCol w:w="2600"/>
        <w:tblGridChange w:id="0">
          <w:tblGrid>
            <w:gridCol w:w="1235"/>
            <w:gridCol w:w="2285"/>
            <w:gridCol w:w="26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center"/>
              <w:rPr>
                <w:i w:val="1"/>
                <w:iCs w:val="1"/>
                <w:sz w:val="20"/>
                <w:szCs w:val="20"/>
              </w:rPr>
            </w:pPr>
            <w:r w:rsidDel="00000000" w:rsidR="00000000" w:rsidRPr="00000000">
              <w:rPr>
                <w:i w:val="1"/>
                <w:iCs w:val="1"/>
                <w:sz w:val="20"/>
                <w:szCs w:val="20"/>
                <w:rtl w:val="0"/>
              </w:rPr>
              <w:t xml:space="preserve">Indivíduo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center"/>
              <w:rPr>
                <w:i w:val="1"/>
                <w:iCs w:val="1"/>
                <w:sz w:val="20"/>
                <w:szCs w:val="20"/>
              </w:rPr>
            </w:pPr>
            <w:r w:rsidDel="00000000" w:rsidR="00000000" w:rsidRPr="00000000">
              <w:rPr>
                <w:i w:val="1"/>
                <w:iCs w:val="1"/>
                <w:sz w:val="20"/>
                <w:szCs w:val="20"/>
                <w:rtl w:val="0"/>
              </w:rPr>
              <w:t xml:space="preserve">CATE Mens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center"/>
              <w:rPr>
                <w:i w:val="1"/>
                <w:iCs w:val="1"/>
                <w:sz w:val="20"/>
                <w:szCs w:val="20"/>
              </w:rPr>
            </w:pPr>
            <w:r w:rsidDel="00000000" w:rsidR="00000000" w:rsidRPr="00000000">
              <w:rPr>
                <w:i w:val="1"/>
                <w:iCs w:val="1"/>
                <w:sz w:val="20"/>
                <w:szCs w:val="20"/>
                <w:rtl w:val="0"/>
              </w:rPr>
              <w:t xml:space="preserve">CATE Womens E-Mail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left"/>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left"/>
              <w:rPr>
                <w:sz w:val="20"/>
                <w:szCs w:val="20"/>
              </w:rPr>
            </w:pPr>
            <w:r w:rsidDel="00000000" w:rsidR="00000000" w:rsidRPr="00000000">
              <w:rPr>
                <w:sz w:val="20"/>
                <w:szCs w:val="20"/>
                <w:rtl w:val="0"/>
              </w:rPr>
              <w:t xml:space="preserve">0.010197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left"/>
              <w:rPr>
                <w:sz w:val="20"/>
                <w:szCs w:val="20"/>
              </w:rPr>
            </w:pPr>
            <w:r w:rsidDel="00000000" w:rsidR="00000000" w:rsidRPr="00000000">
              <w:rPr>
                <w:sz w:val="20"/>
                <w:szCs w:val="20"/>
                <w:rtl w:val="0"/>
              </w:rPr>
              <w:t xml:space="preserve">0.002584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left"/>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left"/>
              <w:rPr>
                <w:sz w:val="20"/>
                <w:szCs w:val="20"/>
              </w:rPr>
            </w:pPr>
            <w:r w:rsidDel="00000000" w:rsidR="00000000" w:rsidRPr="00000000">
              <w:rPr>
                <w:sz w:val="20"/>
                <w:szCs w:val="20"/>
                <w:rtl w:val="0"/>
              </w:rPr>
              <w:t xml:space="preserve">0.004343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left"/>
              <w:rPr>
                <w:sz w:val="20"/>
                <w:szCs w:val="20"/>
              </w:rPr>
            </w:pPr>
            <w:r w:rsidDel="00000000" w:rsidR="00000000" w:rsidRPr="00000000">
              <w:rPr>
                <w:sz w:val="20"/>
                <w:szCs w:val="20"/>
                <w:rtl w:val="0"/>
              </w:rPr>
              <w:t xml:space="preserve">0.008653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left"/>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left"/>
              <w:rPr>
                <w:sz w:val="20"/>
                <w:szCs w:val="20"/>
              </w:rPr>
            </w:pPr>
            <w:r w:rsidDel="00000000" w:rsidR="00000000" w:rsidRPr="00000000">
              <w:rPr>
                <w:sz w:val="20"/>
                <w:szCs w:val="20"/>
                <w:rtl w:val="0"/>
              </w:rPr>
              <w:t xml:space="preserve">0.003740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left"/>
              <w:rPr>
                <w:sz w:val="20"/>
                <w:szCs w:val="20"/>
              </w:rPr>
            </w:pPr>
            <w:r w:rsidDel="00000000" w:rsidR="00000000" w:rsidRPr="00000000">
              <w:rPr>
                <w:sz w:val="20"/>
                <w:szCs w:val="20"/>
                <w:rtl w:val="0"/>
              </w:rPr>
              <w:t xml:space="preserve">0.004350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left"/>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left"/>
              <w:rPr>
                <w:sz w:val="20"/>
                <w:szCs w:val="20"/>
              </w:rPr>
            </w:pPr>
            <w:r w:rsidDel="00000000" w:rsidR="00000000" w:rsidRPr="00000000">
              <w:rPr>
                <w:sz w:val="20"/>
                <w:szCs w:val="20"/>
                <w:rtl w:val="0"/>
              </w:rPr>
              <w:t xml:space="preserve">0.010160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left"/>
              <w:rPr>
                <w:sz w:val="20"/>
                <w:szCs w:val="20"/>
              </w:rPr>
            </w:pPr>
            <w:r w:rsidDel="00000000" w:rsidR="00000000" w:rsidRPr="00000000">
              <w:rPr>
                <w:sz w:val="20"/>
                <w:szCs w:val="20"/>
                <w:rtl w:val="0"/>
              </w:rPr>
              <w:t xml:space="preserve">0.006513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left"/>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left"/>
              <w:rPr>
                <w:sz w:val="20"/>
                <w:szCs w:val="20"/>
              </w:rPr>
            </w:pPr>
            <w:r w:rsidDel="00000000" w:rsidR="00000000" w:rsidRPr="00000000">
              <w:rPr>
                <w:sz w:val="20"/>
                <w:szCs w:val="20"/>
                <w:rtl w:val="0"/>
              </w:rPr>
              <w:t xml:space="preserve">0.007252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left"/>
              <w:rPr>
                <w:sz w:val="20"/>
                <w:szCs w:val="20"/>
              </w:rPr>
            </w:pPr>
            <w:r w:rsidDel="00000000" w:rsidR="00000000" w:rsidRPr="00000000">
              <w:rPr>
                <w:sz w:val="20"/>
                <w:szCs w:val="20"/>
                <w:rtl w:val="0"/>
              </w:rPr>
              <w:t xml:space="preserve">0.004599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left"/>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left"/>
              <w:rPr>
                <w:sz w:val="20"/>
                <w:szCs w:val="20"/>
              </w:rPr>
            </w:pPr>
            <w:r w:rsidDel="00000000" w:rsidR="00000000" w:rsidRPr="00000000">
              <w:rPr>
                <w:sz w:val="20"/>
                <w:szCs w:val="20"/>
                <w:rtl w:val="0"/>
              </w:rPr>
              <w:t xml:space="preserve">-0.000248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jc w:val="left"/>
              <w:rPr>
                <w:sz w:val="20"/>
                <w:szCs w:val="20"/>
              </w:rPr>
            </w:pPr>
            <w:r w:rsidDel="00000000" w:rsidR="00000000" w:rsidRPr="00000000">
              <w:rPr>
                <w:sz w:val="20"/>
                <w:szCs w:val="20"/>
                <w:rtl w:val="0"/>
              </w:rPr>
              <w:t xml:space="preserve">-0.002568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left"/>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jc w:val="left"/>
              <w:rPr>
                <w:sz w:val="20"/>
                <w:szCs w:val="20"/>
              </w:rPr>
            </w:pPr>
            <w:r w:rsidDel="00000000" w:rsidR="00000000" w:rsidRPr="00000000">
              <w:rPr>
                <w:sz w:val="20"/>
                <w:szCs w:val="20"/>
                <w:rtl w:val="0"/>
              </w:rPr>
              <w:t xml:space="preserve">0.009819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left"/>
              <w:rPr>
                <w:sz w:val="20"/>
                <w:szCs w:val="20"/>
              </w:rPr>
            </w:pPr>
            <w:r w:rsidDel="00000000" w:rsidR="00000000" w:rsidRPr="00000000">
              <w:rPr>
                <w:sz w:val="20"/>
                <w:szCs w:val="20"/>
                <w:rtl w:val="0"/>
              </w:rPr>
              <w:t xml:space="preserve">0.005337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left"/>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left"/>
              <w:rPr>
                <w:sz w:val="20"/>
                <w:szCs w:val="20"/>
              </w:rPr>
            </w:pPr>
            <w:r w:rsidDel="00000000" w:rsidR="00000000" w:rsidRPr="00000000">
              <w:rPr>
                <w:sz w:val="20"/>
                <w:szCs w:val="20"/>
                <w:rtl w:val="0"/>
              </w:rPr>
              <w:t xml:space="preserve">0.004832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left"/>
              <w:rPr>
                <w:sz w:val="20"/>
                <w:szCs w:val="20"/>
              </w:rPr>
            </w:pPr>
            <w:r w:rsidDel="00000000" w:rsidR="00000000" w:rsidRPr="00000000">
              <w:rPr>
                <w:sz w:val="20"/>
                <w:szCs w:val="20"/>
                <w:rtl w:val="0"/>
              </w:rPr>
              <w:t xml:space="preserve">0.006780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jc w:val="left"/>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jc w:val="left"/>
              <w:rPr>
                <w:sz w:val="20"/>
                <w:szCs w:val="20"/>
              </w:rPr>
            </w:pPr>
            <w:r w:rsidDel="00000000" w:rsidR="00000000" w:rsidRPr="00000000">
              <w:rPr>
                <w:sz w:val="20"/>
                <w:szCs w:val="20"/>
                <w:rtl w:val="0"/>
              </w:rPr>
              <w:t xml:space="preserve">0.008234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jc w:val="left"/>
              <w:rPr>
                <w:sz w:val="20"/>
                <w:szCs w:val="20"/>
              </w:rPr>
            </w:pPr>
            <w:r w:rsidDel="00000000" w:rsidR="00000000" w:rsidRPr="00000000">
              <w:rPr>
                <w:sz w:val="20"/>
                <w:szCs w:val="20"/>
                <w:rtl w:val="0"/>
              </w:rPr>
              <w:t xml:space="preserve">0.001221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jc w:val="left"/>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jc w:val="left"/>
              <w:rPr>
                <w:sz w:val="20"/>
                <w:szCs w:val="20"/>
              </w:rPr>
            </w:pPr>
            <w:r w:rsidDel="00000000" w:rsidR="00000000" w:rsidRPr="00000000">
              <w:rPr>
                <w:sz w:val="20"/>
                <w:szCs w:val="20"/>
                <w:rtl w:val="0"/>
              </w:rPr>
              <w:t xml:space="preserve">0.017423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jc w:val="left"/>
              <w:rPr>
                <w:sz w:val="20"/>
                <w:szCs w:val="20"/>
              </w:rPr>
            </w:pPr>
            <w:r w:rsidDel="00000000" w:rsidR="00000000" w:rsidRPr="00000000">
              <w:rPr>
                <w:sz w:val="20"/>
                <w:szCs w:val="20"/>
                <w:rtl w:val="0"/>
              </w:rPr>
              <w:t xml:space="preserve">0.006626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jc w:val="left"/>
              <w:rPr>
                <w:sz w:val="20"/>
                <w:szCs w:val="20"/>
              </w:rPr>
            </w:pPr>
            <w:r w:rsidDel="00000000" w:rsidR="00000000" w:rsidRPr="00000000">
              <w:rPr>
                <w:sz w:val="20"/>
                <w:szCs w:val="20"/>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left"/>
              <w:rPr>
                <w:sz w:val="20"/>
                <w:szCs w:val="20"/>
              </w:rPr>
            </w:pPr>
            <w:r w:rsidDel="00000000" w:rsidR="00000000" w:rsidRPr="00000000">
              <w:rPr>
                <w:sz w:val="20"/>
                <w:szCs w:val="20"/>
                <w:rtl w:val="0"/>
              </w:rPr>
              <w:t xml:space="preserve">12799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left"/>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8">
      <w:pPr>
        <w:spacing w:after="240" w:before="240" w:line="360" w:lineRule="auto"/>
        <w:jc w:val="left"/>
        <w:rPr>
          <w:sz w:val="20"/>
          <w:szCs w:val="20"/>
        </w:rPr>
      </w:pPr>
      <w:r w:rsidDel="00000000" w:rsidR="00000000" w:rsidRPr="00000000">
        <w:rPr>
          <w:sz w:val="20"/>
          <w:szCs w:val="20"/>
          <w:rtl w:val="0"/>
        </w:rPr>
        <w:t xml:space="preserve">Fonte: elaboração própria.</w:t>
      </w:r>
    </w:p>
    <w:p w:rsidR="00000000" w:rsidDel="00000000" w:rsidP="00000000" w:rsidRDefault="00000000" w:rsidRPr="00000000" w14:paraId="000001F9">
      <w:pPr>
        <w:keepNext w:val="0"/>
        <w:keepLines w:val="0"/>
        <w:spacing w:line="24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sz w:val="20"/>
          <w:szCs w:val="20"/>
          <w:rtl w:val="0"/>
        </w:rPr>
        <w:t xml:space="preserve">.5 Avaliação dos Modelos</w:t>
      </w:r>
    </w:p>
    <w:p w:rsidR="00000000" w:rsidDel="00000000" w:rsidP="00000000" w:rsidRDefault="00000000" w:rsidRPr="00000000" w14:paraId="000001FA">
      <w:pPr>
        <w:spacing w:after="240" w:before="240" w:line="240" w:lineRule="auto"/>
        <w:rPr>
          <w:sz w:val="20"/>
          <w:szCs w:val="20"/>
        </w:rPr>
      </w:pPr>
      <w:r w:rsidDel="00000000" w:rsidR="00000000" w:rsidRPr="00000000">
        <w:rPr>
          <w:sz w:val="20"/>
          <w:szCs w:val="20"/>
          <w:rtl w:val="0"/>
        </w:rPr>
        <w:t xml:space="preserve">A avaliação foi conduzida sob a perspectiva de ranqueamento causal, uma vez que o objetivo prático dos modelos de uplift consiste em identificar os indivíduos mais suscetíveis às intervenções de marketing.</w:t>
      </w:r>
    </w:p>
    <w:p w:rsidR="00000000" w:rsidDel="00000000" w:rsidP="00000000" w:rsidRDefault="00000000" w:rsidRPr="00000000" w14:paraId="000001FB">
      <w:pPr>
        <w:spacing w:line="360" w:lineRule="auto"/>
        <w:jc w:val="left"/>
        <w:rPr>
          <w:sz w:val="20"/>
          <w:szCs w:val="20"/>
          <w:highlight w:val="white"/>
        </w:rPr>
      </w:pPr>
      <w:r w:rsidDel="00000000" w:rsidR="00000000" w:rsidRPr="00000000">
        <w:rPr>
          <w:b w:val="1"/>
          <w:bCs w:val="1"/>
          <w:sz w:val="20"/>
          <w:szCs w:val="20"/>
          <w:rtl w:val="0"/>
        </w:rPr>
        <w:t xml:space="preserve">Resultados e Discussão</w:t>
      </w:r>
      <w:r w:rsidDel="00000000" w:rsidR="00000000" w:rsidRPr="00000000">
        <w:rPr>
          <w:rtl w:val="0"/>
        </w:rPr>
      </w:r>
    </w:p>
    <w:p w:rsidR="00000000" w:rsidDel="00000000" w:rsidP="00000000" w:rsidRDefault="00000000" w:rsidRPr="00000000" w14:paraId="000001FC">
      <w:pPr>
        <w:spacing w:line="360" w:lineRule="auto"/>
        <w:rPr>
          <w:sz w:val="20"/>
          <w:szCs w:val="20"/>
          <w:highlight w:val="white"/>
        </w:rPr>
      </w:pPr>
      <w:r w:rsidDel="00000000" w:rsidR="00000000" w:rsidRPr="00000000">
        <w:rPr>
          <w:rtl w:val="0"/>
        </w:rPr>
      </w:r>
    </w:p>
    <w:p w:rsidR="00000000" w:rsidDel="00000000" w:rsidP="00000000" w:rsidRDefault="00000000" w:rsidRPr="00000000" w14:paraId="000001FD">
      <w:pPr>
        <w:spacing w:line="360" w:lineRule="auto"/>
        <w:rPr>
          <w:b w:val="1"/>
          <w:bCs w:val="1"/>
          <w:sz w:val="20"/>
          <w:szCs w:val="20"/>
        </w:rPr>
      </w:pPr>
      <w:r w:rsidDel="00000000" w:rsidR="00000000" w:rsidRPr="00000000">
        <w:rPr>
          <w:b w:val="1"/>
          <w:bCs w:val="1"/>
          <w:sz w:val="20"/>
          <w:szCs w:val="20"/>
          <w:rtl w:val="0"/>
        </w:rPr>
        <w:t xml:space="preserve">Conclusão(ões) ou Considerações Finais</w:t>
      </w:r>
    </w:p>
    <w:p w:rsidR="00000000" w:rsidDel="00000000" w:rsidP="00000000" w:rsidRDefault="00000000" w:rsidRPr="00000000" w14:paraId="000001FE">
      <w:pPr>
        <w:spacing w:line="360" w:lineRule="auto"/>
        <w:rPr>
          <w:sz w:val="20"/>
          <w:szCs w:val="20"/>
        </w:rPr>
      </w:pPr>
      <w:r w:rsidDel="00000000" w:rsidR="00000000" w:rsidRPr="00000000">
        <w:rPr>
          <w:rtl w:val="0"/>
        </w:rPr>
      </w:r>
    </w:p>
    <w:p w:rsidR="00000000" w:rsidDel="00000000" w:rsidP="00000000" w:rsidRDefault="00000000" w:rsidRPr="00000000" w14:paraId="000001FF">
      <w:pPr>
        <w:spacing w:line="360" w:lineRule="auto"/>
        <w:jc w:val="left"/>
        <w:rPr>
          <w:sz w:val="20"/>
          <w:szCs w:val="20"/>
        </w:rPr>
      </w:pPr>
      <w:r w:rsidDel="00000000" w:rsidR="00000000" w:rsidRPr="00000000">
        <w:rPr>
          <w:b w:val="1"/>
          <w:bCs w:val="1"/>
          <w:sz w:val="20"/>
          <w:szCs w:val="20"/>
          <w:rtl w:val="0"/>
        </w:rPr>
        <w:t xml:space="preserve">Agradecimento </w:t>
      </w:r>
      <w:r w:rsidDel="00000000" w:rsidR="00000000" w:rsidRPr="00000000">
        <w:rPr>
          <w:sz w:val="20"/>
          <w:szCs w:val="20"/>
          <w:rtl w:val="0"/>
        </w:rPr>
        <w:t xml:space="preserve">(opcional, 1 parágrafo, bem sucinto)</w:t>
      </w:r>
    </w:p>
    <w:p w:rsidR="00000000" w:rsidDel="00000000" w:rsidP="00000000" w:rsidRDefault="00000000" w:rsidRPr="00000000" w14:paraId="00000200">
      <w:pPr>
        <w:spacing w:line="360" w:lineRule="auto"/>
        <w:jc w:val="left"/>
        <w:rPr>
          <w:sz w:val="20"/>
          <w:szCs w:val="20"/>
        </w:rPr>
      </w:pPr>
      <w:r w:rsidDel="00000000" w:rsidR="00000000" w:rsidRPr="00000000">
        <w:rPr>
          <w:rtl w:val="0"/>
        </w:rPr>
      </w:r>
    </w:p>
    <w:p w:rsidR="00000000" w:rsidDel="00000000" w:rsidP="00000000" w:rsidRDefault="00000000" w:rsidRPr="00000000" w14:paraId="00000201">
      <w:pPr>
        <w:spacing w:line="360" w:lineRule="auto"/>
        <w:ind w:firstLine="709"/>
        <w:rPr>
          <w:sz w:val="20"/>
          <w:szCs w:val="20"/>
        </w:rPr>
      </w:pPr>
      <w:r w:rsidDel="00000000" w:rsidR="00000000" w:rsidRPr="00000000">
        <w:rPr>
          <w:sz w:val="20"/>
          <w:szCs w:val="20"/>
          <w:rtl w:val="0"/>
        </w:rPr>
        <w:t xml:space="preserve">O título da seção Agradecimentos deve ser alinhado à esquerda e grafado em negrito, com a primeira letra da palavra grafada em letra maiúscula. Trata-se de uma seção opcional, de no máximo três linhas, na qual o autor agradece àqueles que contribuíram de maneira relevante para o desenvolvimento do trabalho e elaboração do TCC, mas que não tiveram o envolvimento intelectual necessário à atribuição de coautoria. O autor deve se abster da menção ou citação dos nomes das empresas, instituições ou pessoas que permitiram ou contribuíram com o desenvolvimento do trabalho, a menos que esteja documentalmente autorizado a fazê-lo.</w:t>
      </w:r>
    </w:p>
    <w:p w:rsidR="00000000" w:rsidDel="00000000" w:rsidP="00000000" w:rsidRDefault="00000000" w:rsidRPr="00000000" w14:paraId="00000202">
      <w:pPr>
        <w:spacing w:line="360" w:lineRule="auto"/>
        <w:rPr>
          <w:sz w:val="20"/>
          <w:szCs w:val="20"/>
        </w:rPr>
      </w:pPr>
      <w:r w:rsidDel="00000000" w:rsidR="00000000" w:rsidRPr="00000000">
        <w:rPr>
          <w:rtl w:val="0"/>
        </w:rPr>
      </w:r>
    </w:p>
    <w:p w:rsidR="00000000" w:rsidDel="00000000" w:rsidP="00000000" w:rsidRDefault="00000000" w:rsidRPr="00000000" w14:paraId="00000203">
      <w:pPr>
        <w:spacing w:line="360" w:lineRule="auto"/>
        <w:rPr>
          <w:b w:val="1"/>
          <w:bCs w:val="1"/>
          <w:sz w:val="20"/>
          <w:szCs w:val="20"/>
        </w:rPr>
      </w:pPr>
      <w:bookmarkStart w:colFirst="0" w:colLast="0" w:name="_twd9othl3jca" w:id="3"/>
      <w:bookmarkEnd w:id="3"/>
      <w:r w:rsidDel="00000000" w:rsidR="00000000" w:rsidRPr="00000000">
        <w:rPr>
          <w:b w:val="1"/>
          <w:bCs w:val="1"/>
          <w:sz w:val="20"/>
          <w:szCs w:val="20"/>
          <w:rtl w:val="0"/>
        </w:rPr>
        <w:t xml:space="preserve">Referências</w:t>
      </w:r>
    </w:p>
    <w:p w:rsidR="00000000" w:rsidDel="00000000" w:rsidP="00000000" w:rsidRDefault="00000000" w:rsidRPr="00000000" w14:paraId="00000204">
      <w:pPr>
        <w:spacing w:after="240" w:line="240" w:lineRule="auto"/>
        <w:ind w:left="0"/>
        <w:rPr>
          <w:sz w:val="20"/>
          <w:szCs w:val="20"/>
        </w:rPr>
      </w:pPr>
      <w:bookmarkStart w:colFirst="0" w:colLast="0" w:name="_8hgiklerbjdf" w:id="4"/>
      <w:bookmarkEnd w:id="4"/>
      <w:hyperlink r:id="rId41">
        <w:r w:rsidDel="00000000" w:rsidR="00000000" w:rsidRPr="00000000">
          <w:rPr>
            <w:sz w:val="20"/>
            <w:szCs w:val="20"/>
            <w:rtl w:val="0"/>
          </w:rPr>
          <w:t xml:space="preserve">AI, Meng </w:t>
        </w:r>
      </w:hyperlink>
      <w:hyperlink r:id="rId42">
        <w:r w:rsidDel="00000000" w:rsidR="00000000" w:rsidRPr="00000000">
          <w:rPr>
            <w:i w:val="1"/>
            <w:iCs w:val="1"/>
            <w:sz w:val="20"/>
            <w:szCs w:val="20"/>
            <w:rtl w:val="0"/>
          </w:rPr>
          <w:t xml:space="preserve">et al.</w:t>
        </w:r>
      </w:hyperlink>
      <w:hyperlink r:id="rId43">
        <w:r w:rsidDel="00000000" w:rsidR="00000000" w:rsidRPr="00000000">
          <w:rPr>
            <w:sz w:val="20"/>
            <w:szCs w:val="20"/>
            <w:rtl w:val="0"/>
          </w:rPr>
          <w:t xml:space="preserve"> LBCF: A Large-Scale Budget-Constrained Causal Forest Algorithm. </w:t>
        </w:r>
      </w:hyperlink>
      <w:hyperlink r:id="rId44">
        <w:r w:rsidDel="00000000" w:rsidR="00000000" w:rsidRPr="00000000">
          <w:rPr>
            <w:i w:val="1"/>
            <w:iCs w:val="1"/>
            <w:sz w:val="20"/>
            <w:szCs w:val="20"/>
            <w:rtl w:val="0"/>
          </w:rPr>
          <w:t xml:space="preserve">In</w:t>
        </w:r>
      </w:hyperlink>
      <w:hyperlink r:id="rId45">
        <w:r w:rsidDel="00000000" w:rsidR="00000000" w:rsidRPr="00000000">
          <w:rPr>
            <w:sz w:val="20"/>
            <w:szCs w:val="20"/>
            <w:rtl w:val="0"/>
          </w:rPr>
          <w:t xml:space="preserve">: : WWW ’22.New York, NY, USA: Association for Computing Machinery, 25 abr. 2022. Disponível em: &lt;https://dl.acm.org/doi/10.1145/3485447.3512103&gt;. Acesso em: 16 jun. 2026 </w:t>
        </w:r>
      </w:hyperlink>
      <w:r w:rsidDel="00000000" w:rsidR="00000000" w:rsidRPr="00000000">
        <w:rPr>
          <w:rtl w:val="0"/>
        </w:rPr>
      </w:r>
    </w:p>
    <w:p w:rsidR="00000000" w:rsidDel="00000000" w:rsidP="00000000" w:rsidRDefault="00000000" w:rsidRPr="00000000" w14:paraId="00000205">
      <w:pPr>
        <w:spacing w:after="240" w:line="240" w:lineRule="auto"/>
        <w:ind w:left="0"/>
        <w:rPr>
          <w:sz w:val="20"/>
          <w:szCs w:val="20"/>
        </w:rPr>
      </w:pPr>
      <w:bookmarkStart w:colFirst="0" w:colLast="0" w:name="_d3k3zvmowxtp" w:id="5"/>
      <w:bookmarkEnd w:id="5"/>
      <w:hyperlink r:id="rId46">
        <w:r w:rsidDel="00000000" w:rsidR="00000000" w:rsidRPr="00000000">
          <w:rPr>
            <w:sz w:val="20"/>
            <w:szCs w:val="20"/>
            <w:rtl w:val="0"/>
          </w:rPr>
          <w:t xml:space="preserve">ALBERT, Javier; GOLDENBERG, Dmitri. E-Commerce Promotions Personalization via Online Multiple-Choice Knapsack with Uplift Modeling. </w:t>
        </w:r>
      </w:hyperlink>
      <w:hyperlink r:id="rId47">
        <w:r w:rsidDel="00000000" w:rsidR="00000000" w:rsidRPr="00000000">
          <w:rPr>
            <w:i w:val="1"/>
            <w:iCs w:val="1"/>
            <w:sz w:val="20"/>
            <w:szCs w:val="20"/>
            <w:rtl w:val="0"/>
          </w:rPr>
          <w:t xml:space="preserve">In</w:t>
        </w:r>
      </w:hyperlink>
      <w:hyperlink r:id="rId48">
        <w:r w:rsidDel="00000000" w:rsidR="00000000" w:rsidRPr="00000000">
          <w:rPr>
            <w:sz w:val="20"/>
            <w:szCs w:val="20"/>
            <w:rtl w:val="0"/>
          </w:rPr>
          <w:t xml:space="preserve">: : CIKM ’22.New York, NY, USA: Association for Computing Machinery, 17 out. 2022. Disponível em: &lt;https://dl.acm.org/doi/10.1145/3511808.3557100&gt;. Acesso em: 16 jun. 2026 </w:t>
        </w:r>
      </w:hyperlink>
      <w:r w:rsidDel="00000000" w:rsidR="00000000" w:rsidRPr="00000000">
        <w:rPr>
          <w:rtl w:val="0"/>
        </w:rPr>
      </w:r>
    </w:p>
    <w:p w:rsidR="00000000" w:rsidDel="00000000" w:rsidP="00000000" w:rsidRDefault="00000000" w:rsidRPr="00000000" w14:paraId="00000206">
      <w:pPr>
        <w:spacing w:after="240" w:line="240" w:lineRule="auto"/>
        <w:ind w:left="0"/>
        <w:rPr>
          <w:sz w:val="20"/>
          <w:szCs w:val="20"/>
        </w:rPr>
      </w:pPr>
      <w:bookmarkStart w:colFirst="0" w:colLast="0" w:name="_lppn97iu726m" w:id="6"/>
      <w:bookmarkEnd w:id="6"/>
      <w:hyperlink r:id="rId49">
        <w:r w:rsidDel="00000000" w:rsidR="00000000" w:rsidRPr="00000000">
          <w:rPr>
            <w:sz w:val="20"/>
            <w:szCs w:val="20"/>
            <w:rtl w:val="0"/>
          </w:rPr>
          <w:t xml:space="preserve">ATHEY, Susan; TIBSHIRANI, Julie; WAGER, Stefan. Generalized random forests. </w:t>
        </w:r>
      </w:hyperlink>
      <w:hyperlink r:id="rId50">
        <w:r w:rsidDel="00000000" w:rsidR="00000000" w:rsidRPr="00000000">
          <w:rPr>
            <w:b w:val="1"/>
            <w:bCs w:val="1"/>
            <w:sz w:val="20"/>
            <w:szCs w:val="20"/>
            <w:rtl w:val="0"/>
          </w:rPr>
          <w:t xml:space="preserve">The Annals of Statistics</w:t>
        </w:r>
      </w:hyperlink>
      <w:hyperlink r:id="rId51">
        <w:r w:rsidDel="00000000" w:rsidR="00000000" w:rsidRPr="00000000">
          <w:rPr>
            <w:sz w:val="20"/>
            <w:szCs w:val="20"/>
            <w:rtl w:val="0"/>
          </w:rPr>
          <w:t xml:space="preserve">, v. 47, n. 2, p. 1148–1178, abr. 2019. </w:t>
        </w:r>
      </w:hyperlink>
      <w:r w:rsidDel="00000000" w:rsidR="00000000" w:rsidRPr="00000000">
        <w:rPr>
          <w:rtl w:val="0"/>
        </w:rPr>
      </w:r>
    </w:p>
    <w:p w:rsidR="00000000" w:rsidDel="00000000" w:rsidP="00000000" w:rsidRDefault="00000000" w:rsidRPr="00000000" w14:paraId="00000207">
      <w:pPr>
        <w:spacing w:after="240" w:line="240" w:lineRule="auto"/>
        <w:ind w:left="0"/>
        <w:rPr>
          <w:sz w:val="20"/>
          <w:szCs w:val="20"/>
        </w:rPr>
      </w:pPr>
      <w:bookmarkStart w:colFirst="0" w:colLast="0" w:name="_46c1rigjoebn" w:id="7"/>
      <w:bookmarkEnd w:id="7"/>
      <w:hyperlink r:id="rId52">
        <w:r w:rsidDel="00000000" w:rsidR="00000000" w:rsidRPr="00000000">
          <w:rPr>
            <w:sz w:val="20"/>
            <w:szCs w:val="20"/>
            <w:rtl w:val="0"/>
          </w:rPr>
          <w:t xml:space="preserve">BERREVOETS, Jeroen; VERBOVEN, Sam; VERBEKE, Wouter. Treatment effect optimisation in dynamic environments. </w:t>
        </w:r>
      </w:hyperlink>
      <w:hyperlink r:id="rId53">
        <w:r w:rsidDel="00000000" w:rsidR="00000000" w:rsidRPr="00000000">
          <w:rPr>
            <w:b w:val="1"/>
            <w:bCs w:val="1"/>
            <w:sz w:val="20"/>
            <w:szCs w:val="20"/>
            <w:rtl w:val="0"/>
          </w:rPr>
          <w:t xml:space="preserve">Journal of Causal Inference</w:t>
        </w:r>
      </w:hyperlink>
      <w:hyperlink r:id="rId54">
        <w:r w:rsidDel="00000000" w:rsidR="00000000" w:rsidRPr="00000000">
          <w:rPr>
            <w:sz w:val="20"/>
            <w:szCs w:val="20"/>
            <w:rtl w:val="0"/>
          </w:rPr>
          <w:t xml:space="preserve">, v. 10, n. 1, p. 106–122, 1 jan. 2022. </w:t>
        </w:r>
      </w:hyperlink>
      <w:r w:rsidDel="00000000" w:rsidR="00000000" w:rsidRPr="00000000">
        <w:rPr>
          <w:rtl w:val="0"/>
        </w:rPr>
      </w:r>
    </w:p>
    <w:p w:rsidR="00000000" w:rsidDel="00000000" w:rsidP="00000000" w:rsidRDefault="00000000" w:rsidRPr="00000000" w14:paraId="00000208">
      <w:pPr>
        <w:spacing w:after="240" w:line="240" w:lineRule="auto"/>
        <w:ind w:left="0"/>
        <w:rPr>
          <w:sz w:val="20"/>
          <w:szCs w:val="20"/>
        </w:rPr>
      </w:pPr>
      <w:bookmarkStart w:colFirst="0" w:colLast="0" w:name="_ugk9qob6wx0z" w:id="8"/>
      <w:bookmarkEnd w:id="8"/>
      <w:hyperlink r:id="rId55">
        <w:r w:rsidDel="00000000" w:rsidR="00000000" w:rsidRPr="00000000">
          <w:rPr>
            <w:sz w:val="20"/>
            <w:szCs w:val="20"/>
            <w:rtl w:val="0"/>
          </w:rPr>
          <w:t xml:space="preserve">GAO, Chen </w:t>
        </w:r>
      </w:hyperlink>
      <w:hyperlink r:id="rId56">
        <w:r w:rsidDel="00000000" w:rsidR="00000000" w:rsidRPr="00000000">
          <w:rPr>
            <w:i w:val="1"/>
            <w:iCs w:val="1"/>
            <w:sz w:val="20"/>
            <w:szCs w:val="20"/>
            <w:rtl w:val="0"/>
          </w:rPr>
          <w:t xml:space="preserve">et al.</w:t>
        </w:r>
      </w:hyperlink>
      <w:hyperlink r:id="rId57">
        <w:r w:rsidDel="00000000" w:rsidR="00000000" w:rsidRPr="00000000">
          <w:rPr>
            <w:sz w:val="20"/>
            <w:szCs w:val="20"/>
            <w:rtl w:val="0"/>
          </w:rPr>
          <w:t xml:space="preserve"> Causal Inference in Recommender Systems: A Survey and Future Directions. </w:t>
        </w:r>
      </w:hyperlink>
      <w:hyperlink r:id="rId58">
        <w:r w:rsidDel="00000000" w:rsidR="00000000" w:rsidRPr="00000000">
          <w:rPr>
            <w:b w:val="1"/>
            <w:bCs w:val="1"/>
            <w:sz w:val="20"/>
            <w:szCs w:val="20"/>
            <w:rtl w:val="0"/>
          </w:rPr>
          <w:t xml:space="preserve">ACM Trans. Inf. Syst.</w:t>
        </w:r>
      </w:hyperlink>
      <w:hyperlink r:id="rId59">
        <w:r w:rsidDel="00000000" w:rsidR="00000000" w:rsidRPr="00000000">
          <w:rPr>
            <w:sz w:val="20"/>
            <w:szCs w:val="20"/>
            <w:rtl w:val="0"/>
          </w:rPr>
          <w:t xml:space="preserve">, v. 42, n. 4, p. 88:1-88:32, 9 fev. 2024. </w:t>
        </w:r>
      </w:hyperlink>
      <w:r w:rsidDel="00000000" w:rsidR="00000000" w:rsidRPr="00000000">
        <w:rPr>
          <w:rtl w:val="0"/>
        </w:rPr>
      </w:r>
    </w:p>
    <w:p w:rsidR="00000000" w:rsidDel="00000000" w:rsidP="00000000" w:rsidRDefault="00000000" w:rsidRPr="00000000" w14:paraId="00000209">
      <w:pPr>
        <w:spacing w:after="240" w:line="240" w:lineRule="auto"/>
        <w:ind w:left="0"/>
        <w:rPr>
          <w:sz w:val="20"/>
          <w:szCs w:val="20"/>
        </w:rPr>
      </w:pPr>
      <w:bookmarkStart w:colFirst="0" w:colLast="0" w:name="_n8fcbzkonbdu" w:id="9"/>
      <w:bookmarkEnd w:id="9"/>
      <w:hyperlink r:id="rId60">
        <w:r w:rsidDel="00000000" w:rsidR="00000000" w:rsidRPr="00000000">
          <w:rPr>
            <w:sz w:val="20"/>
            <w:szCs w:val="20"/>
            <w:rtl w:val="0"/>
          </w:rPr>
          <w:t xml:space="preserve">GUBELA, Robin; LESSMANN, Stefan. </w:t>
        </w:r>
      </w:hyperlink>
      <w:hyperlink r:id="rId61">
        <w:r w:rsidDel="00000000" w:rsidR="00000000" w:rsidRPr="00000000">
          <w:rPr>
            <w:b w:val="1"/>
            <w:bCs w:val="1"/>
            <w:sz w:val="20"/>
            <w:szCs w:val="20"/>
            <w:rtl w:val="0"/>
          </w:rPr>
          <w:t xml:space="preserve">Uplift Forest for Multiple Treatments and Continuous Outcomes</w:t>
        </w:r>
      </w:hyperlink>
      <w:hyperlink r:id="rId62">
        <w:r w:rsidDel="00000000" w:rsidR="00000000" w:rsidRPr="00000000">
          <w:rPr>
            <w:sz w:val="20"/>
            <w:szCs w:val="20"/>
            <w:rtl w:val="0"/>
          </w:rPr>
          <w:t xml:space="preserve">. </w:t>
        </w:r>
      </w:hyperlink>
      <w:hyperlink r:id="rId63">
        <w:r w:rsidDel="00000000" w:rsidR="00000000" w:rsidRPr="00000000">
          <w:rPr>
            <w:i w:val="1"/>
            <w:iCs w:val="1"/>
            <w:sz w:val="20"/>
            <w:szCs w:val="20"/>
            <w:rtl w:val="0"/>
          </w:rPr>
          <w:t xml:space="preserve">[S.l.: S.n.]</w:t>
        </w:r>
      </w:hyperlink>
      <w:hyperlink r:id="rId64">
        <w:r w:rsidDel="00000000" w:rsidR="00000000" w:rsidRPr="00000000">
          <w:rPr>
            <w:sz w:val="20"/>
            <w:szCs w:val="20"/>
            <w:rtl w:val="0"/>
          </w:rPr>
          <w:t xml:space="preserve">. </w:t>
        </w:r>
      </w:hyperlink>
      <w:r w:rsidDel="00000000" w:rsidR="00000000" w:rsidRPr="00000000">
        <w:rPr>
          <w:rtl w:val="0"/>
        </w:rPr>
      </w:r>
    </w:p>
    <w:p w:rsidR="00000000" w:rsidDel="00000000" w:rsidP="00000000" w:rsidRDefault="00000000" w:rsidRPr="00000000" w14:paraId="0000020A">
      <w:pPr>
        <w:spacing w:after="240" w:line="240" w:lineRule="auto"/>
        <w:ind w:left="0"/>
        <w:rPr>
          <w:sz w:val="20"/>
          <w:szCs w:val="20"/>
        </w:rPr>
      </w:pPr>
      <w:bookmarkStart w:colFirst="0" w:colLast="0" w:name="_6t4lnmbgl0wg" w:id="10"/>
      <w:bookmarkEnd w:id="10"/>
      <w:hyperlink r:id="rId65">
        <w:r w:rsidDel="00000000" w:rsidR="00000000" w:rsidRPr="00000000">
          <w:rPr>
            <w:sz w:val="20"/>
            <w:szCs w:val="20"/>
            <w:rtl w:val="0"/>
          </w:rPr>
          <w:t xml:space="preserve">IBRAGIMOV, Bulat; VAKHRUSHEV, Anton. Uplift Modelling via Gradient Boosting. </w:t>
        </w:r>
      </w:hyperlink>
      <w:hyperlink r:id="rId66">
        <w:r w:rsidDel="00000000" w:rsidR="00000000" w:rsidRPr="00000000">
          <w:rPr>
            <w:i w:val="1"/>
            <w:iCs w:val="1"/>
            <w:sz w:val="20"/>
            <w:szCs w:val="20"/>
            <w:rtl w:val="0"/>
          </w:rPr>
          <w:t xml:space="preserve">In</w:t>
        </w:r>
      </w:hyperlink>
      <w:hyperlink r:id="rId67">
        <w:r w:rsidDel="00000000" w:rsidR="00000000" w:rsidRPr="00000000">
          <w:rPr>
            <w:sz w:val="20"/>
            <w:szCs w:val="20"/>
            <w:rtl w:val="0"/>
          </w:rPr>
          <w:t xml:space="preserve">: : KDD ’24.New York, NY, USA: Association for Computing Machinery, 24 ago. 2024. Disponível em: &lt;https://dl.acm.org/doi/10.1145/3637528.3672019&gt;. Acesso em: 16 jun. 2026 </w:t>
        </w:r>
      </w:hyperlink>
      <w:r w:rsidDel="00000000" w:rsidR="00000000" w:rsidRPr="00000000">
        <w:rPr>
          <w:rtl w:val="0"/>
        </w:rPr>
      </w:r>
    </w:p>
    <w:p w:rsidR="00000000" w:rsidDel="00000000" w:rsidP="00000000" w:rsidRDefault="00000000" w:rsidRPr="00000000" w14:paraId="0000020B">
      <w:pPr>
        <w:spacing w:after="240" w:line="240" w:lineRule="auto"/>
        <w:ind w:left="0"/>
        <w:rPr>
          <w:sz w:val="20"/>
          <w:szCs w:val="20"/>
        </w:rPr>
      </w:pPr>
      <w:bookmarkStart w:colFirst="0" w:colLast="0" w:name="_xtdz0046qxlm" w:id="11"/>
      <w:bookmarkEnd w:id="11"/>
      <w:hyperlink r:id="rId68">
        <w:r w:rsidDel="00000000" w:rsidR="00000000" w:rsidRPr="00000000">
          <w:rPr>
            <w:sz w:val="20"/>
            <w:szCs w:val="20"/>
            <w:rtl w:val="0"/>
          </w:rPr>
          <w:t xml:space="preserve">KASHEM, Shafin </w:t>
        </w:r>
      </w:hyperlink>
      <w:hyperlink r:id="rId69">
        <w:r w:rsidDel="00000000" w:rsidR="00000000" w:rsidRPr="00000000">
          <w:rPr>
            <w:i w:val="1"/>
            <w:iCs w:val="1"/>
            <w:sz w:val="20"/>
            <w:szCs w:val="20"/>
            <w:rtl w:val="0"/>
          </w:rPr>
          <w:t xml:space="preserve">et al.</w:t>
        </w:r>
      </w:hyperlink>
      <w:hyperlink r:id="rId70">
        <w:r w:rsidDel="00000000" w:rsidR="00000000" w:rsidRPr="00000000">
          <w:rPr>
            <w:sz w:val="20"/>
            <w:szCs w:val="20"/>
            <w:rtl w:val="0"/>
          </w:rPr>
          <w:t xml:space="preserve"> Modeling Time-Sensitive Causal Uplift in Marketing Campaigns: Evidence From Synthetic and Real-World Data. </w:t>
        </w:r>
      </w:hyperlink>
      <w:hyperlink r:id="rId71">
        <w:r w:rsidDel="00000000" w:rsidR="00000000" w:rsidRPr="00000000">
          <w:rPr>
            <w:b w:val="1"/>
            <w:bCs w:val="1"/>
            <w:sz w:val="20"/>
            <w:szCs w:val="20"/>
            <w:rtl w:val="0"/>
          </w:rPr>
          <w:t xml:space="preserve">IEEE Access</w:t>
        </w:r>
      </w:hyperlink>
      <w:hyperlink r:id="rId72">
        <w:r w:rsidDel="00000000" w:rsidR="00000000" w:rsidRPr="00000000">
          <w:rPr>
            <w:sz w:val="20"/>
            <w:szCs w:val="20"/>
            <w:rtl w:val="0"/>
          </w:rPr>
          <w:t xml:space="preserve">, v. 14, p. 46467–46480, 2026. </w:t>
        </w:r>
      </w:hyperlink>
      <w:r w:rsidDel="00000000" w:rsidR="00000000" w:rsidRPr="00000000">
        <w:rPr>
          <w:rtl w:val="0"/>
        </w:rPr>
      </w:r>
    </w:p>
    <w:p w:rsidR="00000000" w:rsidDel="00000000" w:rsidP="00000000" w:rsidRDefault="00000000" w:rsidRPr="00000000" w14:paraId="0000020C">
      <w:pPr>
        <w:spacing w:after="240" w:line="240" w:lineRule="auto"/>
        <w:ind w:left="0"/>
        <w:rPr>
          <w:sz w:val="20"/>
          <w:szCs w:val="20"/>
        </w:rPr>
      </w:pPr>
      <w:bookmarkStart w:colFirst="0" w:colLast="0" w:name="_piki5hkpyjd7" w:id="12"/>
      <w:bookmarkEnd w:id="12"/>
      <w:hyperlink r:id="rId73">
        <w:r w:rsidDel="00000000" w:rsidR="00000000" w:rsidRPr="00000000">
          <w:rPr>
            <w:sz w:val="20"/>
            <w:szCs w:val="20"/>
            <w:rtl w:val="0"/>
          </w:rPr>
          <w:t xml:space="preserve">PEARL, Judea. Causal diagrams for empirical research: Rejoinder to Discussions of ‘Causal diagrams for empirical research’. </w:t>
        </w:r>
      </w:hyperlink>
      <w:hyperlink r:id="rId74">
        <w:r w:rsidDel="00000000" w:rsidR="00000000" w:rsidRPr="00000000">
          <w:rPr>
            <w:b w:val="1"/>
            <w:bCs w:val="1"/>
            <w:sz w:val="20"/>
            <w:szCs w:val="20"/>
            <w:rtl w:val="0"/>
          </w:rPr>
          <w:t xml:space="preserve">Biometrika</w:t>
        </w:r>
      </w:hyperlink>
      <w:hyperlink r:id="rId75">
        <w:r w:rsidDel="00000000" w:rsidR="00000000" w:rsidRPr="00000000">
          <w:rPr>
            <w:sz w:val="20"/>
            <w:szCs w:val="20"/>
            <w:rtl w:val="0"/>
          </w:rPr>
          <w:t xml:space="preserve">, v. 82, n. 4, p. 702–710, 1995. </w:t>
        </w:r>
      </w:hyperlink>
      <w:r w:rsidDel="00000000" w:rsidR="00000000" w:rsidRPr="00000000">
        <w:rPr>
          <w:rtl w:val="0"/>
        </w:rPr>
      </w:r>
    </w:p>
    <w:p w:rsidR="00000000" w:rsidDel="00000000" w:rsidP="00000000" w:rsidRDefault="00000000" w:rsidRPr="00000000" w14:paraId="0000020D">
      <w:pPr>
        <w:spacing w:after="240" w:line="240" w:lineRule="auto"/>
        <w:ind w:left="0"/>
        <w:rPr>
          <w:sz w:val="20"/>
          <w:szCs w:val="20"/>
        </w:rPr>
      </w:pPr>
      <w:bookmarkStart w:colFirst="0" w:colLast="0" w:name="_m3releg966i7" w:id="13"/>
      <w:bookmarkEnd w:id="13"/>
      <w:hyperlink r:id="rId76">
        <w:r w:rsidDel="00000000" w:rsidR="00000000" w:rsidRPr="00000000">
          <w:rPr>
            <w:sz w:val="20"/>
            <w:szCs w:val="20"/>
            <w:rtl w:val="0"/>
          </w:rPr>
          <w:t xml:space="preserve">PEARL, Judea. Causal inference in statistics: An overview. </w:t>
        </w:r>
      </w:hyperlink>
      <w:hyperlink r:id="rId77">
        <w:r w:rsidDel="00000000" w:rsidR="00000000" w:rsidRPr="00000000">
          <w:rPr>
            <w:b w:val="1"/>
            <w:bCs w:val="1"/>
            <w:sz w:val="20"/>
            <w:szCs w:val="20"/>
            <w:rtl w:val="0"/>
          </w:rPr>
          <w:t xml:space="preserve">Statistics Surveys</w:t>
        </w:r>
      </w:hyperlink>
      <w:hyperlink r:id="rId78">
        <w:r w:rsidDel="00000000" w:rsidR="00000000" w:rsidRPr="00000000">
          <w:rPr>
            <w:sz w:val="20"/>
            <w:szCs w:val="20"/>
            <w:rtl w:val="0"/>
          </w:rPr>
          <w:t xml:space="preserve">, v. 3, n. none, p. 96–146, jan. 2009a. </w:t>
        </w:r>
      </w:hyperlink>
      <w:r w:rsidDel="00000000" w:rsidR="00000000" w:rsidRPr="00000000">
        <w:rPr>
          <w:rtl w:val="0"/>
        </w:rPr>
      </w:r>
    </w:p>
    <w:p w:rsidR="00000000" w:rsidDel="00000000" w:rsidP="00000000" w:rsidRDefault="00000000" w:rsidRPr="00000000" w14:paraId="0000020E">
      <w:pPr>
        <w:spacing w:after="240" w:line="240" w:lineRule="auto"/>
        <w:ind w:left="0"/>
        <w:rPr>
          <w:sz w:val="20"/>
          <w:szCs w:val="20"/>
        </w:rPr>
      </w:pPr>
      <w:bookmarkStart w:colFirst="0" w:colLast="0" w:name="_he8948rpdshw" w:id="14"/>
      <w:bookmarkEnd w:id="14"/>
      <w:hyperlink r:id="rId79">
        <w:r w:rsidDel="00000000" w:rsidR="00000000" w:rsidRPr="00000000">
          <w:rPr>
            <w:sz w:val="20"/>
            <w:szCs w:val="20"/>
            <w:rtl w:val="0"/>
          </w:rPr>
          <w:t xml:space="preserve">PEARL, Judea. </w:t>
        </w:r>
      </w:hyperlink>
      <w:hyperlink r:id="rId80">
        <w:r w:rsidDel="00000000" w:rsidR="00000000" w:rsidRPr="00000000">
          <w:rPr>
            <w:b w:val="1"/>
            <w:bCs w:val="1"/>
            <w:sz w:val="20"/>
            <w:szCs w:val="20"/>
            <w:rtl w:val="0"/>
          </w:rPr>
          <w:t xml:space="preserve">Causality</w:t>
        </w:r>
      </w:hyperlink>
      <w:hyperlink r:id="rId81">
        <w:r w:rsidDel="00000000" w:rsidR="00000000" w:rsidRPr="00000000">
          <w:rPr>
            <w:sz w:val="20"/>
            <w:szCs w:val="20"/>
            <w:rtl w:val="0"/>
          </w:rPr>
          <w:t xml:space="preserve">. </w:t>
        </w:r>
      </w:hyperlink>
      <w:hyperlink r:id="rId82">
        <w:r w:rsidDel="00000000" w:rsidR="00000000" w:rsidRPr="00000000">
          <w:rPr>
            <w:i w:val="1"/>
            <w:iCs w:val="1"/>
            <w:sz w:val="20"/>
            <w:szCs w:val="20"/>
            <w:rtl w:val="0"/>
          </w:rPr>
          <w:t xml:space="preserve">[S.l.]</w:t>
        </w:r>
      </w:hyperlink>
      <w:hyperlink r:id="rId83">
        <w:r w:rsidDel="00000000" w:rsidR="00000000" w:rsidRPr="00000000">
          <w:rPr>
            <w:sz w:val="20"/>
            <w:szCs w:val="20"/>
            <w:rtl w:val="0"/>
          </w:rPr>
          <w:t xml:space="preserve">: Cambridge University Press, 2009b. </w:t>
        </w:r>
      </w:hyperlink>
      <w:r w:rsidDel="00000000" w:rsidR="00000000" w:rsidRPr="00000000">
        <w:rPr>
          <w:rtl w:val="0"/>
        </w:rPr>
      </w:r>
    </w:p>
    <w:p w:rsidR="00000000" w:rsidDel="00000000" w:rsidP="00000000" w:rsidRDefault="00000000" w:rsidRPr="00000000" w14:paraId="0000020F">
      <w:pPr>
        <w:spacing w:after="240" w:line="240" w:lineRule="auto"/>
        <w:ind w:left="0"/>
        <w:rPr>
          <w:sz w:val="20"/>
          <w:szCs w:val="20"/>
        </w:rPr>
      </w:pPr>
      <w:bookmarkStart w:colFirst="0" w:colLast="0" w:name="_cvhc67ne9e70" w:id="15"/>
      <w:bookmarkEnd w:id="15"/>
      <w:hyperlink r:id="rId84">
        <w:r w:rsidDel="00000000" w:rsidR="00000000" w:rsidRPr="00000000">
          <w:rPr>
            <w:sz w:val="20"/>
            <w:szCs w:val="20"/>
            <w:rtl w:val="0"/>
          </w:rPr>
          <w:t xml:space="preserve">RUBIN, Donald B. Estimating causal effects of treatments in randomized and nonrandomized studies. </w:t>
        </w:r>
      </w:hyperlink>
      <w:hyperlink r:id="rId85">
        <w:r w:rsidDel="00000000" w:rsidR="00000000" w:rsidRPr="00000000">
          <w:rPr>
            <w:b w:val="1"/>
            <w:bCs w:val="1"/>
            <w:sz w:val="20"/>
            <w:szCs w:val="20"/>
            <w:rtl w:val="0"/>
          </w:rPr>
          <w:t xml:space="preserve">Journal of Educational Psychology</w:t>
        </w:r>
      </w:hyperlink>
      <w:hyperlink r:id="rId86">
        <w:r w:rsidDel="00000000" w:rsidR="00000000" w:rsidRPr="00000000">
          <w:rPr>
            <w:sz w:val="20"/>
            <w:szCs w:val="20"/>
            <w:rtl w:val="0"/>
          </w:rPr>
          <w:t xml:space="preserve">, v. 66, n. 5, p. 688–701, 1974. </w:t>
        </w:r>
      </w:hyperlink>
      <w:r w:rsidDel="00000000" w:rsidR="00000000" w:rsidRPr="00000000">
        <w:rPr>
          <w:rtl w:val="0"/>
        </w:rPr>
      </w:r>
    </w:p>
    <w:p w:rsidR="00000000" w:rsidDel="00000000" w:rsidP="00000000" w:rsidRDefault="00000000" w:rsidRPr="00000000" w14:paraId="00000210">
      <w:pPr>
        <w:spacing w:after="240" w:line="240" w:lineRule="auto"/>
        <w:ind w:left="0"/>
        <w:rPr>
          <w:sz w:val="20"/>
          <w:szCs w:val="20"/>
        </w:rPr>
      </w:pPr>
      <w:bookmarkStart w:colFirst="0" w:colLast="0" w:name="_ov4oy3ouj3i3" w:id="16"/>
      <w:bookmarkEnd w:id="16"/>
      <w:hyperlink r:id="rId87">
        <w:r w:rsidDel="00000000" w:rsidR="00000000" w:rsidRPr="00000000">
          <w:rPr>
            <w:b w:val="1"/>
            <w:bCs w:val="1"/>
            <w:sz w:val="20"/>
            <w:szCs w:val="20"/>
            <w:rtl w:val="0"/>
          </w:rPr>
          <w:t xml:space="preserve">The MineThatData E-Mail Analytics And Data Mining Challenge</w:t>
        </w:r>
      </w:hyperlink>
      <w:hyperlink r:id="rId88">
        <w:r w:rsidDel="00000000" w:rsidR="00000000" w:rsidRPr="00000000">
          <w:rPr>
            <w:sz w:val="20"/>
            <w:szCs w:val="20"/>
            <w:rtl w:val="0"/>
          </w:rPr>
          <w:t xml:space="preserve">. Disponível em: &lt;https://blog.minethatdata.com/2008/03/minethatdata-e-mail-analytics-and-data.html&gt;. Acesso em: 15 set. 2026 </w:t>
        </w:r>
      </w:hyperlink>
      <w:r w:rsidDel="00000000" w:rsidR="00000000" w:rsidRPr="00000000">
        <w:rPr>
          <w:rtl w:val="0"/>
        </w:rPr>
      </w:r>
    </w:p>
    <w:p w:rsidR="00000000" w:rsidDel="00000000" w:rsidP="00000000" w:rsidRDefault="00000000" w:rsidRPr="00000000" w14:paraId="00000211">
      <w:pPr>
        <w:spacing w:after="240" w:line="240" w:lineRule="auto"/>
        <w:ind w:left="0"/>
        <w:rPr>
          <w:sz w:val="20"/>
          <w:szCs w:val="20"/>
        </w:rPr>
      </w:pPr>
      <w:bookmarkStart w:colFirst="0" w:colLast="0" w:name="_joedx6pu56vc" w:id="17"/>
      <w:bookmarkEnd w:id="17"/>
      <w:hyperlink r:id="rId89">
        <w:r w:rsidDel="00000000" w:rsidR="00000000" w:rsidRPr="00000000">
          <w:rPr>
            <w:sz w:val="20"/>
            <w:szCs w:val="20"/>
            <w:rtl w:val="0"/>
          </w:rPr>
          <w:t xml:space="preserve">TU, Ye </w:t>
        </w:r>
      </w:hyperlink>
      <w:hyperlink r:id="rId90">
        <w:r w:rsidDel="00000000" w:rsidR="00000000" w:rsidRPr="00000000">
          <w:rPr>
            <w:i w:val="1"/>
            <w:iCs w:val="1"/>
            <w:sz w:val="20"/>
            <w:szCs w:val="20"/>
            <w:rtl w:val="0"/>
          </w:rPr>
          <w:t xml:space="preserve">et al.</w:t>
        </w:r>
      </w:hyperlink>
      <w:hyperlink r:id="rId91">
        <w:r w:rsidDel="00000000" w:rsidR="00000000" w:rsidRPr="00000000">
          <w:rPr>
            <w:sz w:val="20"/>
            <w:szCs w:val="20"/>
            <w:rtl w:val="0"/>
          </w:rPr>
          <w:t xml:space="preserve"> Personalized Treatment Selection using Causal Heterogeneity. </w:t>
        </w:r>
      </w:hyperlink>
      <w:hyperlink r:id="rId92">
        <w:r w:rsidDel="00000000" w:rsidR="00000000" w:rsidRPr="00000000">
          <w:rPr>
            <w:i w:val="1"/>
            <w:iCs w:val="1"/>
            <w:sz w:val="20"/>
            <w:szCs w:val="20"/>
            <w:rtl w:val="0"/>
          </w:rPr>
          <w:t xml:space="preserve">In</w:t>
        </w:r>
      </w:hyperlink>
      <w:hyperlink r:id="rId93">
        <w:r w:rsidDel="00000000" w:rsidR="00000000" w:rsidRPr="00000000">
          <w:rPr>
            <w:sz w:val="20"/>
            <w:szCs w:val="20"/>
            <w:rtl w:val="0"/>
          </w:rPr>
          <w:t xml:space="preserve">: : WWW ’21.New York, NY, USA: Association for Computing Machinery, 3 jun. 2021. Disponível em: &lt;https://dl.acm.org/doi/10.1145/3442381.3450075&gt;. Acesso em: 14 set. 2026 </w:t>
        </w:r>
      </w:hyperlink>
      <w:r w:rsidDel="00000000" w:rsidR="00000000" w:rsidRPr="00000000">
        <w:rPr>
          <w:rtl w:val="0"/>
        </w:rPr>
      </w:r>
    </w:p>
    <w:p w:rsidR="00000000" w:rsidDel="00000000" w:rsidP="00000000" w:rsidRDefault="00000000" w:rsidRPr="00000000" w14:paraId="00000212">
      <w:pPr>
        <w:spacing w:after="240" w:line="240" w:lineRule="auto"/>
        <w:ind w:left="0"/>
        <w:rPr>
          <w:sz w:val="20"/>
          <w:szCs w:val="20"/>
        </w:rPr>
      </w:pPr>
      <w:bookmarkStart w:colFirst="0" w:colLast="0" w:name="_cz8o2p8dd4hk" w:id="18"/>
      <w:bookmarkEnd w:id="18"/>
      <w:hyperlink r:id="rId94">
        <w:r w:rsidDel="00000000" w:rsidR="00000000" w:rsidRPr="00000000">
          <w:rPr>
            <w:sz w:val="20"/>
            <w:szCs w:val="20"/>
            <w:rtl w:val="0"/>
          </w:rPr>
          <w:t xml:space="preserve">YAO, Liuyi </w:t>
        </w:r>
      </w:hyperlink>
      <w:hyperlink r:id="rId95">
        <w:r w:rsidDel="00000000" w:rsidR="00000000" w:rsidRPr="00000000">
          <w:rPr>
            <w:i w:val="1"/>
            <w:iCs w:val="1"/>
            <w:sz w:val="20"/>
            <w:szCs w:val="20"/>
            <w:rtl w:val="0"/>
          </w:rPr>
          <w:t xml:space="preserve">et al.</w:t>
        </w:r>
      </w:hyperlink>
      <w:hyperlink r:id="rId96">
        <w:r w:rsidDel="00000000" w:rsidR="00000000" w:rsidRPr="00000000">
          <w:rPr>
            <w:sz w:val="20"/>
            <w:szCs w:val="20"/>
            <w:rtl w:val="0"/>
          </w:rPr>
          <w:t xml:space="preserve"> A Survey on Causal Inference. </w:t>
        </w:r>
      </w:hyperlink>
      <w:hyperlink r:id="rId97">
        <w:r w:rsidDel="00000000" w:rsidR="00000000" w:rsidRPr="00000000">
          <w:rPr>
            <w:b w:val="1"/>
            <w:bCs w:val="1"/>
            <w:sz w:val="20"/>
            <w:szCs w:val="20"/>
            <w:rtl w:val="0"/>
          </w:rPr>
          <w:t xml:space="preserve">ACM Trans. Knowl. Discov. Data</w:t>
        </w:r>
      </w:hyperlink>
      <w:hyperlink r:id="rId98">
        <w:r w:rsidDel="00000000" w:rsidR="00000000" w:rsidRPr="00000000">
          <w:rPr>
            <w:sz w:val="20"/>
            <w:szCs w:val="20"/>
            <w:rtl w:val="0"/>
          </w:rPr>
          <w:t xml:space="preserve">, v. 15, n. 5, p. 74:1-74:46, 10 maio 2021. </w:t>
        </w:r>
      </w:hyperlink>
      <w:r w:rsidDel="00000000" w:rsidR="00000000" w:rsidRPr="00000000">
        <w:rPr>
          <w:rtl w:val="0"/>
        </w:rPr>
      </w:r>
    </w:p>
    <w:p w:rsidR="00000000" w:rsidDel="00000000" w:rsidP="00000000" w:rsidRDefault="00000000" w:rsidRPr="00000000" w14:paraId="00000213">
      <w:pPr>
        <w:spacing w:after="240" w:line="240" w:lineRule="auto"/>
        <w:ind w:left="0"/>
        <w:rPr>
          <w:sz w:val="20"/>
          <w:szCs w:val="20"/>
        </w:rPr>
      </w:pPr>
      <w:bookmarkStart w:colFirst="0" w:colLast="0" w:name="_v88mb1ek2jc1" w:id="19"/>
      <w:bookmarkEnd w:id="19"/>
      <w:hyperlink r:id="rId99">
        <w:r w:rsidDel="00000000" w:rsidR="00000000" w:rsidRPr="00000000">
          <w:rPr>
            <w:sz w:val="20"/>
            <w:szCs w:val="20"/>
            <w:rtl w:val="0"/>
          </w:rPr>
          <w:t xml:space="preserve">ZHANG, Weijia; LI, Jiuyong; LIU, Lin. A Unified Survey of Treatment Effect Heterogeneity Modelling and Uplift Modelling. </w:t>
        </w:r>
      </w:hyperlink>
      <w:hyperlink r:id="rId100">
        <w:r w:rsidDel="00000000" w:rsidR="00000000" w:rsidRPr="00000000">
          <w:rPr>
            <w:b w:val="1"/>
            <w:bCs w:val="1"/>
            <w:sz w:val="20"/>
            <w:szCs w:val="20"/>
            <w:rtl w:val="0"/>
          </w:rPr>
          <w:t xml:space="preserve">ACM Comput. Surv.</w:t>
        </w:r>
      </w:hyperlink>
      <w:hyperlink r:id="rId101">
        <w:r w:rsidDel="00000000" w:rsidR="00000000" w:rsidRPr="00000000">
          <w:rPr>
            <w:sz w:val="20"/>
            <w:szCs w:val="20"/>
            <w:rtl w:val="0"/>
          </w:rPr>
          <w:t xml:space="preserve">, v. 54, n. 8, p. 162:1-162:36, 4 out. 2021. </w:t>
        </w:r>
      </w:hyperlink>
      <w:r w:rsidDel="00000000" w:rsidR="00000000" w:rsidRPr="00000000">
        <w:rPr>
          <w:rtl w:val="0"/>
        </w:rPr>
      </w:r>
    </w:p>
    <w:p w:rsidR="00000000" w:rsidDel="00000000" w:rsidP="00000000" w:rsidRDefault="00000000" w:rsidRPr="00000000" w14:paraId="00000214">
      <w:pPr>
        <w:spacing w:after="240" w:line="240" w:lineRule="auto"/>
        <w:rPr>
          <w:sz w:val="20"/>
          <w:szCs w:val="20"/>
        </w:rPr>
      </w:pPr>
      <w:hyperlink r:id="rId102">
        <w:r w:rsidDel="00000000" w:rsidR="00000000" w:rsidRPr="00000000">
          <w:rPr>
            <w:sz w:val="20"/>
            <w:szCs w:val="20"/>
            <w:rtl w:val="0"/>
          </w:rPr>
          <w:t xml:space="preserve">LIU, Dugang </w:t>
        </w:r>
      </w:hyperlink>
      <w:hyperlink r:id="rId103">
        <w:r w:rsidDel="00000000" w:rsidR="00000000" w:rsidRPr="00000000">
          <w:rPr>
            <w:sz w:val="20"/>
            <w:szCs w:val="20"/>
            <w:rtl w:val="0"/>
          </w:rPr>
          <w:t xml:space="preserve">et al. </w:t>
        </w:r>
      </w:hyperlink>
      <w:hyperlink r:id="rId104">
        <w:r w:rsidDel="00000000" w:rsidR="00000000" w:rsidRPr="00000000">
          <w:rPr>
            <w:sz w:val="20"/>
            <w:szCs w:val="20"/>
            <w:rtl w:val="0"/>
          </w:rPr>
          <w:t xml:space="preserve">Benchmarking for Deep Uplift Modeling in Online Marketing</w:t>
        </w:r>
      </w:hyperlink>
      <w:hyperlink r:id="rId105">
        <w:r w:rsidDel="00000000" w:rsidR="00000000" w:rsidRPr="00000000">
          <w:rPr>
            <w:sz w:val="20"/>
            <w:szCs w:val="20"/>
            <w:rtl w:val="0"/>
          </w:rPr>
          <w:t xml:space="preserve">. Disponível em: &lt;https://arxiv.org/abs/2406.00335v1&gt;. Acesso em: 28 mar. 2026. </w:t>
        </w:r>
      </w:hyperlink>
      <w:r w:rsidDel="00000000" w:rsidR="00000000" w:rsidRPr="00000000">
        <w:rPr>
          <w:rtl w:val="0"/>
        </w:rPr>
      </w:r>
    </w:p>
    <w:p w:rsidR="00000000" w:rsidDel="00000000" w:rsidP="00000000" w:rsidRDefault="00000000" w:rsidRPr="00000000" w14:paraId="00000215">
      <w:pPr>
        <w:spacing w:after="240" w:line="240" w:lineRule="auto"/>
        <w:rPr>
          <w:sz w:val="20"/>
          <w:szCs w:val="20"/>
        </w:rPr>
      </w:pPr>
      <w:hyperlink r:id="rId106">
        <w:r w:rsidDel="00000000" w:rsidR="00000000" w:rsidRPr="00000000">
          <w:rPr>
            <w:sz w:val="20"/>
            <w:szCs w:val="20"/>
            <w:rtl w:val="0"/>
          </w:rPr>
          <w:t xml:space="preserve">PERERA, Nimal; FERNANDO, Sajith; ABEYSEKERA, Roshan. Causal Inference and Uplift Modeling on Integrated Customer 360 Data for Targeted Personalization Strategies in B2C Digital Retail Platforms. </w:t>
        </w:r>
      </w:hyperlink>
      <w:hyperlink r:id="rId107">
        <w:r w:rsidDel="00000000" w:rsidR="00000000" w:rsidRPr="00000000">
          <w:rPr>
            <w:sz w:val="20"/>
            <w:szCs w:val="20"/>
            <w:rtl w:val="0"/>
          </w:rPr>
          <w:t xml:space="preserve">Orient Journal of Emerging Paradigms in Artificial Intelligence and Autonomous Systems</w:t>
        </w:r>
      </w:hyperlink>
      <w:hyperlink r:id="rId108">
        <w:r w:rsidDel="00000000" w:rsidR="00000000" w:rsidRPr="00000000">
          <w:rPr>
            <w:sz w:val="20"/>
            <w:szCs w:val="20"/>
            <w:rtl w:val="0"/>
          </w:rPr>
          <w:t xml:space="preserve">, v. 14, n. 1, p. 1–15, 4 jan. 2024. </w:t>
        </w:r>
      </w:hyperlink>
      <w:r w:rsidDel="00000000" w:rsidR="00000000" w:rsidRPr="00000000">
        <w:rPr>
          <w:rtl w:val="0"/>
        </w:rPr>
      </w:r>
    </w:p>
    <w:p w:rsidR="00000000" w:rsidDel="00000000" w:rsidP="00000000" w:rsidRDefault="00000000" w:rsidRPr="00000000" w14:paraId="00000216">
      <w:pPr>
        <w:spacing w:after="240" w:line="240" w:lineRule="auto"/>
        <w:rPr>
          <w:sz w:val="20"/>
          <w:szCs w:val="20"/>
        </w:rPr>
      </w:pPr>
      <w:hyperlink r:id="rId109">
        <w:r w:rsidDel="00000000" w:rsidR="00000000" w:rsidRPr="00000000">
          <w:rPr>
            <w:sz w:val="20"/>
            <w:szCs w:val="20"/>
            <w:rtl w:val="0"/>
          </w:rPr>
          <w:t xml:space="preserve">THAM, Nate. Uplift Modelling and Doubly Robust Causal Learning for Bank Marketing Targeting: Optimizing ROI with Coverage–Incremental Profit Curves. </w:t>
        </w:r>
      </w:hyperlink>
      <w:hyperlink r:id="rId110">
        <w:r w:rsidDel="00000000" w:rsidR="00000000" w:rsidRPr="00000000">
          <w:rPr>
            <w:sz w:val="20"/>
            <w:szCs w:val="20"/>
            <w:rtl w:val="0"/>
          </w:rPr>
          <w:t xml:space="preserve">Journal of Computing Innovations and Applications</w:t>
        </w:r>
      </w:hyperlink>
      <w:hyperlink r:id="rId111">
        <w:r w:rsidDel="00000000" w:rsidR="00000000" w:rsidRPr="00000000">
          <w:rPr>
            <w:sz w:val="20"/>
            <w:szCs w:val="20"/>
            <w:rtl w:val="0"/>
          </w:rPr>
          <w:t xml:space="preserve">, v. 4, n. 1, p. 30–47, 11 jan. 2026. </w:t>
        </w:r>
      </w:hyperlink>
      <w:r w:rsidDel="00000000" w:rsidR="00000000" w:rsidRPr="00000000">
        <w:rPr>
          <w:rtl w:val="0"/>
        </w:rPr>
      </w:r>
    </w:p>
    <w:p w:rsidR="00000000" w:rsidDel="00000000" w:rsidP="00000000" w:rsidRDefault="00000000" w:rsidRPr="00000000" w14:paraId="00000217">
      <w:pPr>
        <w:spacing w:after="240" w:line="240" w:lineRule="auto"/>
        <w:rPr>
          <w:sz w:val="20"/>
          <w:szCs w:val="20"/>
        </w:rPr>
      </w:pPr>
      <w:hyperlink r:id="rId112">
        <w:r w:rsidDel="00000000" w:rsidR="00000000" w:rsidRPr="00000000">
          <w:rPr>
            <w:sz w:val="20"/>
            <w:szCs w:val="20"/>
            <w:rtl w:val="0"/>
          </w:rPr>
          <w:t xml:space="preserve">ZHAO, Zhenyu; HARINEN, Totte. Uplift Modeling for Multiple Treatments with Cost Optimization. </w:t>
        </w:r>
      </w:hyperlink>
      <w:hyperlink r:id="rId113">
        <w:r w:rsidDel="00000000" w:rsidR="00000000" w:rsidRPr="00000000">
          <w:rPr>
            <w:sz w:val="20"/>
            <w:szCs w:val="20"/>
            <w:rtl w:val="0"/>
          </w:rPr>
          <w:t xml:space="preserve">In</w:t>
        </w:r>
      </w:hyperlink>
      <w:hyperlink r:id="rId114">
        <w:r w:rsidDel="00000000" w:rsidR="00000000" w:rsidRPr="00000000">
          <w:rPr>
            <w:sz w:val="20"/>
            <w:szCs w:val="20"/>
            <w:rtl w:val="0"/>
          </w:rPr>
          <w:t xml:space="preserve">: 2019 IEEE INTERNATIONAL CONFERENCE ON DATA SCIENCE AND ADVANCED ANALYTICS (DSAA). </w:t>
        </w:r>
      </w:hyperlink>
      <w:hyperlink r:id="rId115">
        <w:r w:rsidDel="00000000" w:rsidR="00000000" w:rsidRPr="00000000">
          <w:rPr>
            <w:sz w:val="20"/>
            <w:szCs w:val="20"/>
            <w:rtl w:val="0"/>
          </w:rPr>
          <w:t xml:space="preserve">2019 IEEE International Conference on Data Science and Advanced Analytics (DSAA)</w:t>
        </w:r>
      </w:hyperlink>
      <w:hyperlink r:id="rId116">
        <w:r w:rsidDel="00000000" w:rsidR="00000000" w:rsidRPr="00000000">
          <w:rPr>
            <w:sz w:val="20"/>
            <w:szCs w:val="20"/>
            <w:rtl w:val="0"/>
          </w:rPr>
          <w:t xml:space="preserve">. out. 2019. Disponível em: &lt;https://ieeexplore.ieee.org/abstract/document/8964199&gt;. Acesso em: 28 mar. 2026 </w:t>
        </w:r>
      </w:hyperlink>
      <w:r w:rsidDel="00000000" w:rsidR="00000000" w:rsidRPr="00000000">
        <w:rPr>
          <w:rtl w:val="0"/>
        </w:rPr>
      </w:r>
    </w:p>
    <w:p w:rsidR="00000000" w:rsidDel="00000000" w:rsidP="00000000" w:rsidRDefault="00000000" w:rsidRPr="00000000" w14:paraId="00000218">
      <w:pPr>
        <w:rPr>
          <w:b w:val="1"/>
          <w:bCs w:val="1"/>
          <w:sz w:val="20"/>
          <w:szCs w:val="20"/>
        </w:rPr>
      </w:pPr>
      <w:r w:rsidDel="00000000" w:rsidR="00000000" w:rsidRPr="00000000">
        <w:rPr>
          <w:sz w:val="20"/>
          <w:szCs w:val="20"/>
          <w:rtl w:val="0"/>
        </w:rPr>
        <w:t xml:space="preserve">Dataset: </w:t>
      </w:r>
      <w:hyperlink r:id="rId117">
        <w:r w:rsidDel="00000000" w:rsidR="00000000" w:rsidRPr="00000000">
          <w:rPr>
            <w:sz w:val="20"/>
            <w:szCs w:val="20"/>
            <w:u w:val="single"/>
            <w:rtl w:val="0"/>
          </w:rPr>
          <w:t xml:space="preserve">https://causeinfer.readthedocs.io/en/latest/data/hillstrom.html</w:t>
        </w:r>
      </w:hyperlink>
      <w:r w:rsidDel="00000000" w:rsidR="00000000" w:rsidRPr="00000000">
        <w:rPr>
          <w:rtl w:val="0"/>
        </w:rPr>
      </w:r>
    </w:p>
    <w:p w:rsidR="00000000" w:rsidDel="00000000" w:rsidP="00000000" w:rsidRDefault="00000000" w:rsidRPr="00000000" w14:paraId="00000219">
      <w:pPr>
        <w:spacing w:line="360" w:lineRule="auto"/>
        <w:rPr>
          <w:sz w:val="20"/>
          <w:szCs w:val="20"/>
        </w:rPr>
      </w:pPr>
      <w:r w:rsidDel="00000000" w:rsidR="00000000" w:rsidRPr="00000000">
        <w:rPr>
          <w:rtl w:val="0"/>
        </w:rPr>
      </w:r>
    </w:p>
    <w:p w:rsidR="00000000" w:rsidDel="00000000" w:rsidP="00000000" w:rsidRDefault="00000000" w:rsidRPr="00000000" w14:paraId="0000021A">
      <w:pPr>
        <w:spacing w:line="360" w:lineRule="auto"/>
        <w:rPr>
          <w:b w:val="1"/>
          <w:bCs w:val="1"/>
          <w:sz w:val="20"/>
          <w:szCs w:val="20"/>
        </w:rPr>
      </w:pPr>
      <w:r w:rsidDel="00000000" w:rsidR="00000000" w:rsidRPr="00000000">
        <w:rPr>
          <w:b w:val="1"/>
          <w:bCs w:val="1"/>
          <w:sz w:val="20"/>
          <w:szCs w:val="20"/>
          <w:rtl w:val="0"/>
        </w:rPr>
        <w:t xml:space="preserve">Apêndice ou Anexo </w:t>
      </w:r>
      <w:r w:rsidDel="00000000" w:rsidR="00000000" w:rsidRPr="00000000">
        <w:rPr>
          <w:sz w:val="20"/>
          <w:szCs w:val="20"/>
          <w:rtl w:val="0"/>
        </w:rPr>
        <w:t xml:space="preserve">(opcional)</w:t>
      </w:r>
      <w:r w:rsidDel="00000000" w:rsidR="00000000" w:rsidRPr="00000000">
        <w:rPr>
          <w:rtl w:val="0"/>
        </w:rPr>
      </w:r>
    </w:p>
    <w:p w:rsidR="00000000" w:rsidDel="00000000" w:rsidP="00000000" w:rsidRDefault="00000000" w:rsidRPr="00000000" w14:paraId="0000021B">
      <w:pPr>
        <w:spacing w:line="360" w:lineRule="auto"/>
        <w:rPr>
          <w:sz w:val="20"/>
          <w:szCs w:val="20"/>
        </w:rPr>
      </w:pPr>
      <w:r w:rsidDel="00000000" w:rsidR="00000000" w:rsidRPr="00000000">
        <w:rPr>
          <w:rtl w:val="0"/>
        </w:rPr>
      </w:r>
    </w:p>
    <w:p w:rsidR="00000000" w:rsidDel="00000000" w:rsidP="00000000" w:rsidRDefault="00000000" w:rsidRPr="00000000" w14:paraId="0000021C">
      <w:pPr>
        <w:spacing w:line="360" w:lineRule="auto"/>
        <w:ind w:firstLine="709"/>
        <w:rPr>
          <w:sz w:val="20"/>
          <w:szCs w:val="20"/>
        </w:rPr>
      </w:pPr>
      <w:r w:rsidDel="00000000" w:rsidR="00000000" w:rsidRPr="00000000">
        <w:rPr>
          <w:sz w:val="20"/>
          <w:szCs w:val="20"/>
          <w:rtl w:val="0"/>
        </w:rPr>
        <w:t xml:space="preserve">Os apêndices são textos e/ou documentos que foram elaborados pelos autores e que são importantes para complementar a argumentação do trabalho. Anexos são textos ou documentos que ilustram o trabalho, mas que não foram elaborados pelos autores. Apêndices deverão seguir as mesmas normas de formatação do restante do texto, inclusive para as figuras e tabelas. O TCC deverá conter no máximo 30 páginas, incluindo o(s) Apêndice(s) e/ou Anexo(s).</w:t>
      </w:r>
    </w:p>
    <w:p w:rsidR="00000000" w:rsidDel="00000000" w:rsidP="00000000" w:rsidRDefault="00000000" w:rsidRPr="00000000" w14:paraId="0000021D">
      <w:pPr>
        <w:spacing w:line="360" w:lineRule="auto"/>
        <w:rPr>
          <w:b w:val="1"/>
          <w:bCs w:val="1"/>
          <w:sz w:val="20"/>
          <w:szCs w:val="20"/>
        </w:rPr>
      </w:pPr>
      <w:r w:rsidDel="00000000" w:rsidR="00000000" w:rsidRPr="00000000">
        <w:rPr>
          <w:b w:val="1"/>
          <w:bCs w:val="1"/>
          <w:sz w:val="20"/>
          <w:szCs w:val="20"/>
          <w:rtl w:val="0"/>
        </w:rPr>
        <w:t xml:space="preserve">Atenção: </w:t>
      </w:r>
      <w:r w:rsidDel="00000000" w:rsidR="00000000" w:rsidRPr="00000000">
        <w:rPr>
          <w:sz w:val="20"/>
          <w:szCs w:val="2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21E">
      <w:pPr>
        <w:spacing w:line="360" w:lineRule="auto"/>
        <w:rPr>
          <w:sz w:val="20"/>
          <w:szCs w:val="20"/>
        </w:rPr>
      </w:pPr>
      <w:r w:rsidDel="00000000" w:rsidR="00000000" w:rsidRPr="00000000">
        <w:rPr>
          <w:rtl w:val="0"/>
        </w:rPr>
      </w:r>
    </w:p>
    <w:p w:rsidR="00000000" w:rsidDel="00000000" w:rsidP="00000000" w:rsidRDefault="00000000" w:rsidRPr="00000000" w14:paraId="0000021F">
      <w:pPr>
        <w:spacing w:line="360" w:lineRule="auto"/>
        <w:rPr>
          <w:sz w:val="20"/>
          <w:szCs w:val="20"/>
        </w:rPr>
      </w:pPr>
      <w:r w:rsidDel="00000000" w:rsidR="00000000" w:rsidRPr="00000000">
        <w:rPr>
          <w:rtl w:val="0"/>
        </w:rPr>
      </w:r>
    </w:p>
    <w:sectPr>
      <w:headerReference r:id="rId118" w:type="default"/>
      <w:footerReference r:id="rId119" w:type="default"/>
      <w:footerReference r:id="rId120" w:type="first"/>
      <w:pgSz w:h="16838" w:w="11906" w:orient="portrait"/>
      <w:pgMar w:bottom="1418" w:top="1418" w:left="1418" w:right="1418"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MAGDALENA KCALA ALVARO" w:id="1" w:date="2026-09-16T19:19:0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diferencias simples de medias</w:t>
      </w:r>
    </w:p>
  </w:comment>
  <w:comment w:author="MARIA MAGDALENA KCALA ALVARO" w:id="0" w:date="2026-09-16T19:44:53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df_pt.groupby("campanha")["conversão"].agg(["mean","count"])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agrupa por T, seleciona Y, calcula a média de Y dentro de cada grupo de T , i.e. E(Y I T=t)=0.0125,..., e o count dá N.</w:t>
      </w:r>
    </w:p>
  </w:comment>
  <w:comment w:author="MARIA MAGDALENA KCALA ALVARO" w:id="2" w:date="2026-09-17T20:02:00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chamar de região_rural, região_suburbana,... o mesmo para canal_multicanal,..., mas seriam nomes longos.</w:t>
      </w:r>
    </w:p>
  </w:comment>
  <w:comment w:author="MARIA MAGDALENA KCALA ALVARO" w:id="3" w:date="2026-09-17T20:16:40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preciso colocar o valor da semente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Trabalho de Conclusão de Curso apresentado para obtenção do título de especialista em</w:t>
    </w:r>
    <w:r w:rsidDel="00000000" w:rsidR="00000000" w:rsidRPr="00000000">
      <w:rPr>
        <w:sz w:val="16"/>
        <w:szCs w:val="16"/>
        <w:rtl w:val="0"/>
      </w:rPr>
      <w:t xml:space="preserve"> Data Science e Analytics EaD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202</w:t>
    </w:r>
    <w:r w:rsidDel="00000000" w:rsidR="00000000" w:rsidRPr="00000000">
      <w:rPr>
        <w:sz w:val="16"/>
        <w:szCs w:val="16"/>
        <w:rtl w:val="0"/>
      </w:rPr>
      <w:t xml:space="preserve">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3" name="image3.png"/>
          <a:graphic>
            <a:graphicData uri="http://schemas.openxmlformats.org/drawingml/2006/picture">
              <pic:pic>
                <pic:nvPicPr>
                  <pic:cNvPr descr="Desenho com traços pretos em fundo branco&#10;&#10;Descrição gerada automaticamente com confiança média" id="0" name="image3.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5753100" cy="12700"/>
              <wp:effectExtent b="0" l="0" r="0" t="0"/>
              <wp:wrapNone/>
              <wp:docPr id="1" name=""/>
              <a:graphic>
                <a:graphicData uri="http://schemas.microsoft.com/office/word/2010/wordprocessingShape">
                  <wps:wsp>
                    <wps:cNvCnPr/>
                    <wps:spPr>
                      <a:xfrm>
                        <a:off x="2469450" y="3780000"/>
                        <a:ext cx="57531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5753100" cy="1270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jc w:val="left"/>
    </w:pPr>
    <w:rPr>
      <w:b w:val="1"/>
      <w:bCs w:val="1"/>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hyperlink" Target="https://www.zotero.org/google-docs/?mmr9fM" TargetMode="External"/><Relationship Id="rId41" Type="http://schemas.openxmlformats.org/officeDocument/2006/relationships/hyperlink" Target="https://www.zotero.org/google-docs/?mmr9fM" TargetMode="External"/><Relationship Id="rId44" Type="http://schemas.openxmlformats.org/officeDocument/2006/relationships/hyperlink" Target="https://www.zotero.org/google-docs/?mmr9fM" TargetMode="External"/><Relationship Id="rId43" Type="http://schemas.openxmlformats.org/officeDocument/2006/relationships/hyperlink" Target="https://www.zotero.org/google-docs/?mmr9fM" TargetMode="External"/><Relationship Id="rId46" Type="http://schemas.openxmlformats.org/officeDocument/2006/relationships/hyperlink" Target="https://www.zotero.org/google-docs/?mmr9fM" TargetMode="External"/><Relationship Id="rId45" Type="http://schemas.openxmlformats.org/officeDocument/2006/relationships/hyperlink" Target="https://www.zotero.org/google-docs/?mmr9fM" TargetMode="External"/><Relationship Id="rId107" Type="http://schemas.openxmlformats.org/officeDocument/2006/relationships/hyperlink" Target="https://www.zotero.org/google-docs/?broken=uq5rb7" TargetMode="External"/><Relationship Id="rId106" Type="http://schemas.openxmlformats.org/officeDocument/2006/relationships/hyperlink" Target="https://www.zotero.org/google-docs/?broken=uq5rb7" TargetMode="External"/><Relationship Id="rId105" Type="http://schemas.openxmlformats.org/officeDocument/2006/relationships/hyperlink" Target="https://www.zotero.org/google-docs/?broken=Kh7dKk" TargetMode="External"/><Relationship Id="rId104" Type="http://schemas.openxmlformats.org/officeDocument/2006/relationships/hyperlink" Target="https://www.zotero.org/google-docs/?broken=Kh7dKk" TargetMode="External"/><Relationship Id="rId109" Type="http://schemas.openxmlformats.org/officeDocument/2006/relationships/hyperlink" Target="https://www.zotero.org/google-docs/?broken=H8WYUh" TargetMode="External"/><Relationship Id="rId108" Type="http://schemas.openxmlformats.org/officeDocument/2006/relationships/hyperlink" Target="https://www.zotero.org/google-docs/?broken=uq5rb7" TargetMode="External"/><Relationship Id="rId48" Type="http://schemas.openxmlformats.org/officeDocument/2006/relationships/hyperlink" Target="https://www.zotero.org/google-docs/?mmr9fM" TargetMode="External"/><Relationship Id="rId47" Type="http://schemas.openxmlformats.org/officeDocument/2006/relationships/hyperlink" Target="https://www.zotero.org/google-docs/?mmr9fM" TargetMode="External"/><Relationship Id="rId49" Type="http://schemas.openxmlformats.org/officeDocument/2006/relationships/hyperlink" Target="https://www.zotero.org/google-docs/?mmr9fM" TargetMode="External"/><Relationship Id="rId103" Type="http://schemas.openxmlformats.org/officeDocument/2006/relationships/hyperlink" Target="https://www.zotero.org/google-docs/?broken=Kh7dKk" TargetMode="External"/><Relationship Id="rId102" Type="http://schemas.openxmlformats.org/officeDocument/2006/relationships/hyperlink" Target="https://www.zotero.org/google-docs/?broken=Kh7dKk" TargetMode="External"/><Relationship Id="rId101" Type="http://schemas.openxmlformats.org/officeDocument/2006/relationships/hyperlink" Target="https://www.zotero.org/google-docs/?mmr9fM" TargetMode="External"/><Relationship Id="rId100" Type="http://schemas.openxmlformats.org/officeDocument/2006/relationships/hyperlink" Target="https://www.zotero.org/google-docs/?mmr9fM" TargetMode="External"/><Relationship Id="rId31" Type="http://schemas.openxmlformats.org/officeDocument/2006/relationships/hyperlink" Target="https://www.zotero.org/google-docs/?rqe9Ft" TargetMode="External"/><Relationship Id="rId30" Type="http://schemas.openxmlformats.org/officeDocument/2006/relationships/hyperlink" Target="https://www.zotero.org/google-docs/?fNQu67" TargetMode="External"/><Relationship Id="rId33" Type="http://schemas.openxmlformats.org/officeDocument/2006/relationships/hyperlink" Target="https://www.zotero.org/google-docs/?CzuwWe" TargetMode="External"/><Relationship Id="rId32" Type="http://schemas.openxmlformats.org/officeDocument/2006/relationships/hyperlink" Target="https://www.zotero.org/google-docs/?Uci9bi" TargetMode="External"/><Relationship Id="rId35" Type="http://schemas.openxmlformats.org/officeDocument/2006/relationships/hyperlink" Target="https://www.zotero.org/google-docs/?yK2vuL" TargetMode="External"/><Relationship Id="rId34" Type="http://schemas.openxmlformats.org/officeDocument/2006/relationships/hyperlink" Target="https://www.zotero.org/google-docs/?Q2grb5" TargetMode="External"/><Relationship Id="rId37" Type="http://schemas.openxmlformats.org/officeDocument/2006/relationships/hyperlink" Target="https://www.zotero.org/google-docs/?jYR1zs" TargetMode="External"/><Relationship Id="rId36" Type="http://schemas.openxmlformats.org/officeDocument/2006/relationships/hyperlink" Target="https://www.zotero.org/google-docs/?C4mxie" TargetMode="External"/><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hyperlink" Target="https://www.zotero.org/google-docs/?LmareA" TargetMode="External"/><Relationship Id="rId22" Type="http://schemas.openxmlformats.org/officeDocument/2006/relationships/hyperlink" Target="https://www.zotero.org/google-docs/?NvvEvo" TargetMode="External"/><Relationship Id="rId21" Type="http://schemas.openxmlformats.org/officeDocument/2006/relationships/hyperlink" Target="https://www.zotero.org/google-docs/?fKBUNy" TargetMode="External"/><Relationship Id="rId24" Type="http://schemas.openxmlformats.org/officeDocument/2006/relationships/hyperlink" Target="https://www.zotero.org/google-docs/?WjpAVr" TargetMode="External"/><Relationship Id="rId23" Type="http://schemas.openxmlformats.org/officeDocument/2006/relationships/hyperlink" Target="https://www.zotero.org/google-docs/?SDFQe2" TargetMode="External"/><Relationship Id="rId26" Type="http://schemas.openxmlformats.org/officeDocument/2006/relationships/hyperlink" Target="https://www.zotero.org/google-docs/?8iYGQ8" TargetMode="External"/><Relationship Id="rId25" Type="http://schemas.openxmlformats.org/officeDocument/2006/relationships/hyperlink" Target="https://www.zotero.org/google-docs/?pXpGPn" TargetMode="External"/><Relationship Id="rId120" Type="http://schemas.openxmlformats.org/officeDocument/2006/relationships/footer" Target="footer2.xml"/><Relationship Id="rId28" Type="http://schemas.openxmlformats.org/officeDocument/2006/relationships/hyperlink" Target="https://www.zotero.org/google-docs/?QUIZBS" TargetMode="External"/><Relationship Id="rId27" Type="http://schemas.openxmlformats.org/officeDocument/2006/relationships/hyperlink" Target="https://www.zotero.org/google-docs/?4auAr2" TargetMode="External"/><Relationship Id="rId29" Type="http://schemas.openxmlformats.org/officeDocument/2006/relationships/hyperlink" Target="https://www.zotero.org/google-docs/?xrOTuG" TargetMode="External"/><Relationship Id="rId95" Type="http://schemas.openxmlformats.org/officeDocument/2006/relationships/hyperlink" Target="https://www.zotero.org/google-docs/?mmr9fM" TargetMode="External"/><Relationship Id="rId94" Type="http://schemas.openxmlformats.org/officeDocument/2006/relationships/hyperlink" Target="https://www.zotero.org/google-docs/?mmr9fM" TargetMode="External"/><Relationship Id="rId97" Type="http://schemas.openxmlformats.org/officeDocument/2006/relationships/hyperlink" Target="https://www.zotero.org/google-docs/?mmr9fM" TargetMode="External"/><Relationship Id="rId96" Type="http://schemas.openxmlformats.org/officeDocument/2006/relationships/hyperlink" Target="https://www.zotero.org/google-docs/?mmr9fM" TargetMode="External"/><Relationship Id="rId11" Type="http://schemas.openxmlformats.org/officeDocument/2006/relationships/hyperlink" Target="https://www.zotero.org/google-docs/?broken=V41nFw" TargetMode="External"/><Relationship Id="rId99" Type="http://schemas.openxmlformats.org/officeDocument/2006/relationships/hyperlink" Target="https://www.zotero.org/google-docs/?mmr9fM" TargetMode="External"/><Relationship Id="rId10" Type="http://schemas.openxmlformats.org/officeDocument/2006/relationships/hyperlink" Target="https://www.zotero.org/google-docs/?broken=fpjNMI" TargetMode="External"/><Relationship Id="rId98" Type="http://schemas.openxmlformats.org/officeDocument/2006/relationships/hyperlink" Target="https://www.zotero.org/google-docs/?mmr9fM" TargetMode="External"/><Relationship Id="rId13" Type="http://schemas.openxmlformats.org/officeDocument/2006/relationships/hyperlink" Target="https://www.zotero.org/google-docs/?broken=41Xkes" TargetMode="External"/><Relationship Id="rId12" Type="http://schemas.openxmlformats.org/officeDocument/2006/relationships/hyperlink" Target="https://www.zotero.org/google-docs/?broken=AGGikd" TargetMode="External"/><Relationship Id="rId91" Type="http://schemas.openxmlformats.org/officeDocument/2006/relationships/hyperlink" Target="https://www.zotero.org/google-docs/?mmr9fM" TargetMode="External"/><Relationship Id="rId90" Type="http://schemas.openxmlformats.org/officeDocument/2006/relationships/hyperlink" Target="https://www.zotero.org/google-docs/?mmr9fM" TargetMode="External"/><Relationship Id="rId93" Type="http://schemas.openxmlformats.org/officeDocument/2006/relationships/hyperlink" Target="https://www.zotero.org/google-docs/?mmr9fM" TargetMode="External"/><Relationship Id="rId92" Type="http://schemas.openxmlformats.org/officeDocument/2006/relationships/hyperlink" Target="https://www.zotero.org/google-docs/?mmr9fM" TargetMode="External"/><Relationship Id="rId118" Type="http://schemas.openxmlformats.org/officeDocument/2006/relationships/header" Target="header1.xml"/><Relationship Id="rId117" Type="http://schemas.openxmlformats.org/officeDocument/2006/relationships/hyperlink" Target="https://causeinfer.readthedocs.io/en/latest/data/hillstrom.html" TargetMode="External"/><Relationship Id="rId116" Type="http://schemas.openxmlformats.org/officeDocument/2006/relationships/hyperlink" Target="https://www.zotero.org/google-docs/?broken=eBpB37" TargetMode="External"/><Relationship Id="rId115" Type="http://schemas.openxmlformats.org/officeDocument/2006/relationships/hyperlink" Target="https://www.zotero.org/google-docs/?broken=eBpB37" TargetMode="External"/><Relationship Id="rId119" Type="http://schemas.openxmlformats.org/officeDocument/2006/relationships/footer" Target="footer1.xml"/><Relationship Id="rId15" Type="http://schemas.openxmlformats.org/officeDocument/2006/relationships/hyperlink" Target="https://www.zotero.org/google-docs/?NE9DtJ" TargetMode="External"/><Relationship Id="rId110" Type="http://schemas.openxmlformats.org/officeDocument/2006/relationships/hyperlink" Target="https://www.zotero.org/google-docs/?broken=H8WYUh" TargetMode="External"/><Relationship Id="rId14" Type="http://schemas.openxmlformats.org/officeDocument/2006/relationships/hyperlink" Target="https://www.zotero.org/google-docs/?broken=ClVToU" TargetMode="External"/><Relationship Id="rId17" Type="http://schemas.openxmlformats.org/officeDocument/2006/relationships/hyperlink" Target="https://www.zotero.org/google-docs/?wUK6gU" TargetMode="External"/><Relationship Id="rId16" Type="http://schemas.openxmlformats.org/officeDocument/2006/relationships/hyperlink" Target="https://www.zotero.org/google-docs/?NJsjqy" TargetMode="External"/><Relationship Id="rId19" Type="http://schemas.openxmlformats.org/officeDocument/2006/relationships/hyperlink" Target="https://www.zotero.org/google-docs/?broken=t2WblV" TargetMode="External"/><Relationship Id="rId114" Type="http://schemas.openxmlformats.org/officeDocument/2006/relationships/hyperlink" Target="https://www.zotero.org/google-docs/?broken=eBpB37" TargetMode="External"/><Relationship Id="rId18" Type="http://schemas.openxmlformats.org/officeDocument/2006/relationships/hyperlink" Target="https://www.zotero.org/google-docs/?broken=LLMggK" TargetMode="External"/><Relationship Id="rId113" Type="http://schemas.openxmlformats.org/officeDocument/2006/relationships/hyperlink" Target="https://www.zotero.org/google-docs/?broken=eBpB37" TargetMode="External"/><Relationship Id="rId112" Type="http://schemas.openxmlformats.org/officeDocument/2006/relationships/hyperlink" Target="https://www.zotero.org/google-docs/?broken=eBpB37" TargetMode="External"/><Relationship Id="rId111" Type="http://schemas.openxmlformats.org/officeDocument/2006/relationships/hyperlink" Target="https://www.zotero.org/google-docs/?broken=H8WYUh" TargetMode="External"/><Relationship Id="rId84" Type="http://schemas.openxmlformats.org/officeDocument/2006/relationships/hyperlink" Target="https://www.zotero.org/google-docs/?mmr9fM" TargetMode="External"/><Relationship Id="rId83" Type="http://schemas.openxmlformats.org/officeDocument/2006/relationships/hyperlink" Target="https://www.zotero.org/google-docs/?mmr9fM" TargetMode="External"/><Relationship Id="rId86" Type="http://schemas.openxmlformats.org/officeDocument/2006/relationships/hyperlink" Target="https://www.zotero.org/google-docs/?mmr9fM" TargetMode="External"/><Relationship Id="rId85" Type="http://schemas.openxmlformats.org/officeDocument/2006/relationships/hyperlink" Target="https://www.zotero.org/google-docs/?mmr9fM" TargetMode="External"/><Relationship Id="rId88" Type="http://schemas.openxmlformats.org/officeDocument/2006/relationships/hyperlink" Target="https://www.zotero.org/google-docs/?mmr9fM" TargetMode="External"/><Relationship Id="rId87" Type="http://schemas.openxmlformats.org/officeDocument/2006/relationships/hyperlink" Target="https://www.zotero.org/google-docs/?mmr9fM" TargetMode="External"/><Relationship Id="rId89" Type="http://schemas.openxmlformats.org/officeDocument/2006/relationships/hyperlink" Target="https://www.zotero.org/google-docs/?mmr9fM" TargetMode="External"/><Relationship Id="rId80" Type="http://schemas.openxmlformats.org/officeDocument/2006/relationships/hyperlink" Target="https://www.zotero.org/google-docs/?mmr9fM" TargetMode="External"/><Relationship Id="rId82" Type="http://schemas.openxmlformats.org/officeDocument/2006/relationships/hyperlink" Target="https://www.zotero.org/google-docs/?mmr9fM" TargetMode="External"/><Relationship Id="rId81" Type="http://schemas.openxmlformats.org/officeDocument/2006/relationships/hyperlink" Target="https://www.zotero.org/google-docs/?mmr9f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broken=78CJT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ariakcala05@gmail.com" TargetMode="External"/><Relationship Id="rId8" Type="http://schemas.openxmlformats.org/officeDocument/2006/relationships/hyperlink" Target="mailto:ricardolimongi@gmail.com" TargetMode="External"/><Relationship Id="rId73" Type="http://schemas.openxmlformats.org/officeDocument/2006/relationships/hyperlink" Target="https://www.zotero.org/google-docs/?mmr9fM" TargetMode="External"/><Relationship Id="rId72" Type="http://schemas.openxmlformats.org/officeDocument/2006/relationships/hyperlink" Target="https://www.zotero.org/google-docs/?mmr9fM" TargetMode="External"/><Relationship Id="rId75" Type="http://schemas.openxmlformats.org/officeDocument/2006/relationships/hyperlink" Target="https://www.zotero.org/google-docs/?mmr9fM" TargetMode="External"/><Relationship Id="rId74" Type="http://schemas.openxmlformats.org/officeDocument/2006/relationships/hyperlink" Target="https://www.zotero.org/google-docs/?mmr9fM" TargetMode="External"/><Relationship Id="rId77" Type="http://schemas.openxmlformats.org/officeDocument/2006/relationships/hyperlink" Target="https://www.zotero.org/google-docs/?mmr9fM" TargetMode="External"/><Relationship Id="rId76" Type="http://schemas.openxmlformats.org/officeDocument/2006/relationships/hyperlink" Target="https://www.zotero.org/google-docs/?mmr9fM" TargetMode="External"/><Relationship Id="rId79" Type="http://schemas.openxmlformats.org/officeDocument/2006/relationships/hyperlink" Target="https://www.zotero.org/google-docs/?mmr9fM" TargetMode="External"/><Relationship Id="rId78" Type="http://schemas.openxmlformats.org/officeDocument/2006/relationships/hyperlink" Target="https://www.zotero.org/google-docs/?mmr9fM" TargetMode="External"/><Relationship Id="rId71" Type="http://schemas.openxmlformats.org/officeDocument/2006/relationships/hyperlink" Target="https://www.zotero.org/google-docs/?mmr9fM" TargetMode="External"/><Relationship Id="rId70" Type="http://schemas.openxmlformats.org/officeDocument/2006/relationships/hyperlink" Target="https://www.zotero.org/google-docs/?mmr9fM" TargetMode="External"/><Relationship Id="rId62" Type="http://schemas.openxmlformats.org/officeDocument/2006/relationships/hyperlink" Target="https://www.zotero.org/google-docs/?mmr9fM" TargetMode="External"/><Relationship Id="rId61" Type="http://schemas.openxmlformats.org/officeDocument/2006/relationships/hyperlink" Target="https://www.zotero.org/google-docs/?mmr9fM" TargetMode="External"/><Relationship Id="rId64" Type="http://schemas.openxmlformats.org/officeDocument/2006/relationships/hyperlink" Target="https://www.zotero.org/google-docs/?mmr9fM" TargetMode="External"/><Relationship Id="rId63" Type="http://schemas.openxmlformats.org/officeDocument/2006/relationships/hyperlink" Target="https://www.zotero.org/google-docs/?mmr9fM" TargetMode="External"/><Relationship Id="rId66" Type="http://schemas.openxmlformats.org/officeDocument/2006/relationships/hyperlink" Target="https://www.zotero.org/google-docs/?mmr9fM" TargetMode="External"/><Relationship Id="rId65" Type="http://schemas.openxmlformats.org/officeDocument/2006/relationships/hyperlink" Target="https://www.zotero.org/google-docs/?mmr9fM" TargetMode="External"/><Relationship Id="rId68" Type="http://schemas.openxmlformats.org/officeDocument/2006/relationships/hyperlink" Target="https://www.zotero.org/google-docs/?mmr9fM" TargetMode="External"/><Relationship Id="rId67" Type="http://schemas.openxmlformats.org/officeDocument/2006/relationships/hyperlink" Target="https://www.zotero.org/google-docs/?mmr9fM" TargetMode="External"/><Relationship Id="rId60" Type="http://schemas.openxmlformats.org/officeDocument/2006/relationships/hyperlink" Target="https://www.zotero.org/google-docs/?mmr9fM" TargetMode="External"/><Relationship Id="rId69" Type="http://schemas.openxmlformats.org/officeDocument/2006/relationships/hyperlink" Target="https://www.zotero.org/google-docs/?mmr9fM" TargetMode="External"/><Relationship Id="rId51" Type="http://schemas.openxmlformats.org/officeDocument/2006/relationships/hyperlink" Target="https://www.zotero.org/google-docs/?mmr9fM" TargetMode="External"/><Relationship Id="rId50" Type="http://schemas.openxmlformats.org/officeDocument/2006/relationships/hyperlink" Target="https://www.zotero.org/google-docs/?mmr9fM" TargetMode="External"/><Relationship Id="rId53" Type="http://schemas.openxmlformats.org/officeDocument/2006/relationships/hyperlink" Target="https://www.zotero.org/google-docs/?mmr9fM" TargetMode="External"/><Relationship Id="rId52" Type="http://schemas.openxmlformats.org/officeDocument/2006/relationships/hyperlink" Target="https://www.zotero.org/google-docs/?mmr9fM" TargetMode="External"/><Relationship Id="rId55" Type="http://schemas.openxmlformats.org/officeDocument/2006/relationships/hyperlink" Target="https://www.zotero.org/google-docs/?mmr9fM" TargetMode="External"/><Relationship Id="rId54" Type="http://schemas.openxmlformats.org/officeDocument/2006/relationships/hyperlink" Target="https://www.zotero.org/google-docs/?mmr9fM" TargetMode="External"/><Relationship Id="rId57" Type="http://schemas.openxmlformats.org/officeDocument/2006/relationships/hyperlink" Target="https://www.zotero.org/google-docs/?mmr9fM" TargetMode="External"/><Relationship Id="rId56" Type="http://schemas.openxmlformats.org/officeDocument/2006/relationships/hyperlink" Target="https://www.zotero.org/google-docs/?mmr9fM" TargetMode="External"/><Relationship Id="rId59" Type="http://schemas.openxmlformats.org/officeDocument/2006/relationships/hyperlink" Target="https://www.zotero.org/google-docs/?mmr9fM" TargetMode="External"/><Relationship Id="rId58" Type="http://schemas.openxmlformats.org/officeDocument/2006/relationships/hyperlink" Target="https://www.zotero.org/google-docs/?mmr9f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MediaServiceImageTags</vt:lpwstr>
  </property>
</Properties>
</file>