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9360" w:type="dxa"/>
      </w:tblPr>
      <w:tblGrid>
        <w:gridCol w:w="10080"/>
      </w:tblGrid>
      <w:tr>
        <w:tc>
          <w:tcPr>
            <w:tcW w:w="9360" w:type="dxa"/>
            <w:shd w:val="clear" w:color="auto" w:fill="1F4E79"/>
            <w:tcBorders>
              <w:top w:val="single" w:sz="1" w:space="0" w:color="1F4E79"/>
              <w:left w:val="single" w:sz="1" w:space="0" w:color="1F4E79"/>
              <w:bottom w:val="single" w:sz="1" w:space="0" w:color="1F4E79"/>
              <w:right w:val="single" w:sz="1" w:space="0" w:color="1F4E79"/>
            </w:tcBorders>
            <w:tcMar>
              <w:top w:w="400" w:type="dxa"/>
              <w:left w:w="400" w:type="dxa"/>
              <w:bottom w:w="400" w:type="dxa"/>
              <w:right w:w="400" w:type="dxa"/>
            </w:tcMar>
          </w:tcPr>
          <w:p>
            <w:pPr>
              <w:spacing w:after="100"/>
              <w:jc w:val="center"/>
            </w:pPr>
            <w:r>
              <w:rPr>
                <w:rFonts w:ascii="Arial" w:hAnsi="Arial"/>
                <w:b/>
                <w:color w:val="FFFFFF"/>
                <w:sz w:val="52"/>
              </w:rPr>
              <w:t>AI TEST CASE GENERATOR</w:t>
            </w:r>
          </w:p>
          <w:p>
            <w:pPr>
              <w:spacing w:after="80"/>
              <w:jc w:val="center"/>
            </w:pPr>
            <w:r>
              <w:rPr>
                <w:rFonts w:ascii="Arial" w:hAnsi="Arial"/>
                <w:color w:val="00B0A0"/>
                <w:sz w:val="34"/>
              </w:rPr>
              <w:t>Business Guide</w:t>
            </w:r>
          </w:p>
          <w:p>
            <w:pPr>
              <w:jc w:val="center"/>
            </w:pPr>
            <w:r>
              <w:rPr>
                <w:rFonts w:ascii="Arial" w:hAnsi="Arial"/>
                <w:i/>
                <w:color w:val="CCDDEE"/>
                <w:sz w:val="22"/>
              </w:rPr>
              <w:t>From Requirements to Executable Test Cases — Automatically</w:t>
            </w:r>
          </w:p>
        </w:tc>
      </w:tr>
    </w:tbl>
    <w:p>
      <w:pPr>
        <w:spacing w:before="120" w:after="0"/>
      </w:pPr>
    </w:p>
    <w:p>
      <w:pPr>
        <w:jc w:val="center"/>
      </w:pPr>
      <w:r>
        <w:rPr>
          <w:rFonts w:ascii="Arial" w:hAnsi="Arial"/>
          <w:color w:val="444444"/>
          <w:sz w:val="20"/>
        </w:rPr>
        <w:t>March 2026  |  For: Product Owners, Business Analysts, QA Managers</w:t>
      </w:r>
    </w:p>
    <w:p>
      <w:r>
        <w:br w:type="page"/>
      </w:r>
    </w:p>
    <w:p>
      <w:pPr>
        <w:pStyle w:val="Heading1"/>
        <w:spacing w:before="240" w:after="120"/>
        <w:jc w:val="left"/>
        <w:pBdr>
          <w:bottom w:val="single" w:sz="6" w:space="4" w:color="00B0A0"/>
        </w:pBdr>
      </w:pPr>
      <w:r>
        <w:rPr>
          <w:rFonts w:ascii="Arial" w:hAnsi="Arial"/>
          <w:color w:val="1F4E79"/>
        </w:rPr>
        <w:t>Executive Summary</w:t>
      </w:r>
    </w:p>
    <w:p>
      <w:pPr>
        <w:spacing w:before="60" w:after="100"/>
      </w:pPr>
      <w:r>
        <w:rPr>
          <w:rFonts w:ascii="Arial" w:hAnsi="Arial"/>
          <w:b w:val="0"/>
          <w:i w:val="0"/>
          <w:color w:val="1A1A1A"/>
          <w:sz w:val="22"/>
        </w:rPr>
        <w:t>The AI Test Case Generator is an intelligent tool that reads your software requirement documents and automatically produces a complete, structured set of test cases — ready to execute or import into Zephyr Scale.</w:t>
      </w:r>
    </w:p>
    <w:p>
      <w:pPr>
        <w:spacing w:before="60" w:after="0"/>
      </w:pPr>
    </w:p>
    <w:p>
      <w:pPr>
        <w:spacing w:before="60" w:after="100"/>
      </w:pPr>
      <w:r>
        <w:rPr>
          <w:rFonts w:ascii="Arial" w:hAnsi="Arial"/>
          <w:b w:val="0"/>
          <w:i w:val="0"/>
          <w:color w:val="1A1A1A"/>
          <w:sz w:val="22"/>
        </w:rPr>
        <w:t>It eliminates hours of manual test case writing by:</w:t>
      </w:r>
    </w:p>
    <w:p>
      <w:pPr>
        <w:pStyle w:val="ListBullet"/>
        <w:spacing w:before="40" w:after="40"/>
        <w:ind w:left="360"/>
      </w:pPr>
      <w:r>
        <w:rPr>
          <w:rFonts w:ascii="Arial" w:hAnsi="Arial"/>
          <w:color w:val="1A1A1A"/>
          <w:sz w:val="22"/>
        </w:rPr>
        <w:t>Reading requirements files in any common format (CSV, Excel, Word, PDF, plain text)</w:t>
      </w:r>
    </w:p>
    <w:p>
      <w:pPr>
        <w:pStyle w:val="ListBullet"/>
        <w:spacing w:before="40" w:after="40"/>
        <w:ind w:left="360"/>
      </w:pPr>
      <w:r>
        <w:rPr>
          <w:rFonts w:ascii="Arial" w:hAnsi="Arial"/>
          <w:color w:val="1A1A1A"/>
          <w:sz w:val="22"/>
        </w:rPr>
        <w:t>Understanding what each requirement needs to prove — positive scenarios, failure handling, and edge cases</w:t>
      </w:r>
    </w:p>
    <w:p>
      <w:pPr>
        <w:pStyle w:val="ListBullet"/>
        <w:spacing w:before="40" w:after="40"/>
        <w:ind w:left="360"/>
      </w:pPr>
      <w:r>
        <w:rPr>
          <w:rFonts w:ascii="Arial" w:hAnsi="Arial"/>
          <w:color w:val="1A1A1A"/>
          <w:sz w:val="22"/>
        </w:rPr>
        <w:t>Writing specific, step-by-step test cases with exact button names, input values, and expected outcomes</w:t>
      </w:r>
    </w:p>
    <w:p>
      <w:pPr>
        <w:pStyle w:val="ListBullet"/>
        <w:spacing w:before="40" w:after="40"/>
        <w:ind w:left="360"/>
      </w:pPr>
      <w:r>
        <w:rPr>
          <w:rFonts w:ascii="Arial" w:hAnsi="Arial"/>
          <w:color w:val="1A1A1A"/>
          <w:sz w:val="22"/>
        </w:rPr>
        <w:t>Exporting directly to Zephyr Scale or a standard spreadsheet format</w:t>
      </w:r>
    </w:p>
    <w:p>
      <w:pPr>
        <w:pStyle w:val="ListBullet"/>
        <w:spacing w:before="40" w:after="40"/>
        <w:ind w:left="360"/>
      </w:pPr>
      <w:r>
        <w:rPr>
          <w:rFonts w:ascii="Arial" w:hAnsi="Arial"/>
          <w:color w:val="1A1A1A"/>
          <w:sz w:val="22"/>
        </w:rPr>
        <w:t>Getting smarter over time as your team approves good examples and stores them as templates</w:t>
      </w:r>
    </w:p>
    <w:p>
      <w:pPr>
        <w:spacing w:before="100" w:after="0"/>
      </w:pPr>
    </w:p>
    <w:tbl>
      <w:tblPr>
        <w:jc w:val="left"/>
        <w:tblLook w:firstColumn="1" w:firstRow="1" w:lastColumn="0" w:lastRow="0" w:noHBand="0" w:noVBand="1" w:val="04A0"/>
        <w:tblW w:w="9360" w:type="dxa"/>
      </w:tblPr>
      <w:tblGrid>
        <w:gridCol w:w="10080"/>
      </w:tblGrid>
      <w:tr>
        <w:tc>
          <w:tcPr>
            <w:tcW w:w="9360" w:type="dxa"/>
            <w:shd w:val="clear" w:color="auto" w:fill="E2EFDA"/>
            <w:tcBorders>
              <w:top w:val="single" w:sz="6" w:space="0" w:color="375623"/>
              <w:left w:val="single" w:sz="6" w:space="0" w:color="375623"/>
              <w:bottom w:val="single" w:sz="6" w:space="0" w:color="375623"/>
              <w:right w:val="single" w:sz="6" w:space="0" w:color="375623"/>
            </w:tcBorders>
            <w:tcMar>
              <w:top w:w="120" w:type="dxa"/>
              <w:left w:w="200" w:type="dxa"/>
              <w:bottom w:w="120" w:type="dxa"/>
              <w:right w:w="200" w:type="dxa"/>
            </w:tcMar>
          </w:tcPr>
          <w:p>
            <w:pPr>
              <w:spacing w:after="80"/>
            </w:pPr>
            <w:r>
              <w:rPr>
                <w:rFonts w:ascii="Arial" w:hAnsi="Arial"/>
                <w:b/>
                <w:color w:val="375623"/>
                <w:sz w:val="22"/>
              </w:rPr>
              <w:t>Key Numbers from the Banking Sample Run</w:t>
            </w:r>
          </w:p>
          <w:p>
            <w:pPr>
              <w:spacing w:before="30" w:after="30"/>
              <w:ind w:left="288"/>
            </w:pPr>
            <w:r>
              <w:rPr>
                <w:rFonts w:ascii="Arial" w:hAnsi="Arial"/>
                <w:color w:val="1A1A1A"/>
                <w:sz w:val="20"/>
              </w:rPr>
              <w:t xml:space="preserve">  10 requirements processed in a single run</w:t>
            </w:r>
          </w:p>
          <w:p>
            <w:pPr>
              <w:spacing w:before="30" w:after="30"/>
              <w:ind w:left="288"/>
            </w:pPr>
            <w:r>
              <w:rPr>
                <w:rFonts w:ascii="Arial" w:hAnsi="Arial"/>
                <w:color w:val="1A1A1A"/>
                <w:sz w:val="20"/>
              </w:rPr>
              <w:t xml:space="preserve">  60 test cases generated (6 per requirement: 2 positive, 2 negative, 2 edge case)</w:t>
            </w:r>
          </w:p>
          <w:p>
            <w:pPr>
              <w:spacing w:before="30" w:after="30"/>
              <w:ind w:left="288"/>
            </w:pPr>
            <w:r>
              <w:rPr>
                <w:rFonts w:ascii="Arial" w:hAnsi="Arial"/>
                <w:color w:val="1A1A1A"/>
                <w:sz w:val="20"/>
              </w:rPr>
              <w:t xml:space="preserve">  Every test case includes: title, description, preconditions, 5 executable steps, BDD scenario, expected outcome</w:t>
            </w:r>
          </w:p>
          <w:p>
            <w:pPr>
              <w:spacing w:before="30" w:after="30"/>
              <w:ind w:left="288"/>
            </w:pPr>
            <w:r>
              <w:rPr>
                <w:rFonts w:ascii="Arial" w:hAnsi="Arial"/>
                <w:color w:val="1A1A1A"/>
                <w:sz w:val="20"/>
              </w:rPr>
              <w:t xml:space="preserve">  Complete output ready for import into Zephyr Scale in under 10 minutes</w:t>
            </w:r>
          </w:p>
        </w:tc>
      </w:tr>
    </w:tbl>
    <w:p/>
    <w:p>
      <w:r>
        <w:br w:type="page"/>
      </w:r>
    </w:p>
    <w:p>
      <w:pPr>
        <w:pStyle w:val="Heading1"/>
        <w:spacing w:before="240" w:after="120"/>
        <w:jc w:val="left"/>
        <w:pBdr>
          <w:bottom w:val="single" w:sz="6" w:space="4" w:color="00B0A0"/>
        </w:pBdr>
      </w:pPr>
      <w:r>
        <w:rPr>
          <w:rFonts w:ascii="Arial" w:hAnsi="Arial"/>
          <w:color w:val="1F4E79"/>
        </w:rPr>
        <w:t>The Problem We Solve</w:t>
      </w:r>
    </w:p>
    <w:p>
      <w:pPr>
        <w:spacing w:before="60" w:after="100"/>
      </w:pPr>
      <w:r>
        <w:rPr>
          <w:rFonts w:ascii="Arial" w:hAnsi="Arial"/>
          <w:b w:val="0"/>
          <w:i w:val="0"/>
          <w:color w:val="1A1A1A"/>
          <w:sz w:val="22"/>
        </w:rPr>
        <w:t>Writing test cases by hand is one of the most time-consuming activities in QA. A single requirement with 4-6 acceptance criteria can take 1-2 hours to convert into a thorough test case suite. Common pain points include:</w:t>
      </w:r>
    </w:p>
    <w:p>
      <w:pPr>
        <w:spacing w:before="60" w:after="0"/>
      </w:pPr>
    </w:p>
    <w:tbl>
      <w:tblPr>
        <w:jc w:val="left"/>
        <w:tblLook w:firstColumn="1" w:firstRow="1" w:lastColumn="0" w:lastRow="0" w:noHBand="0" w:noVBand="1" w:val="04A0"/>
        <w:tblW w:w="9360" w:type="dxa"/>
      </w:tblPr>
      <w:tblGrid>
        <w:gridCol w:w="5040"/>
        <w:gridCol w:w="5040"/>
      </w:tblGrid>
      <w:tr>
        <w:tc>
          <w:tcPr>
            <w:tcW w:w="324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Pain Point</w:t>
            </w:r>
          </w:p>
        </w:tc>
        <w:tc>
          <w:tcPr>
            <w:tcW w:w="612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Business Impact</w:t>
            </w:r>
          </w:p>
        </w:tc>
      </w:tr>
      <w:tr>
        <w:tc>
          <w:tcPr>
            <w:tcW w:w="32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Writing the same boilerplate for every TC</w:t>
            </w:r>
          </w:p>
        </w:tc>
        <w:tc>
          <w:tcPr>
            <w:tcW w:w="61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QA engineers spend 40-60% of time on structure rather than thinking about test logic.</w:t>
            </w:r>
          </w:p>
        </w:tc>
      </w:tr>
      <w:tr>
        <w:tc>
          <w:tcPr>
            <w:tcW w:w="32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Missing negative and edge-case scenarios</w:t>
            </w:r>
          </w:p>
        </w:tc>
        <w:tc>
          <w:tcPr>
            <w:tcW w:w="61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Teams focus on the happy path and miss failure modes that appear in production.</w:t>
            </w:r>
          </w:p>
        </w:tc>
      </w:tr>
      <w:tr>
        <w:tc>
          <w:tcPr>
            <w:tcW w:w="32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Test cases too vague to execute</w:t>
            </w:r>
          </w:p>
        </w:tc>
        <w:tc>
          <w:tcPr>
            <w:tcW w:w="61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Steps like 'verify the login works' cannot be handed to a tester without interpretation.</w:t>
            </w:r>
          </w:p>
        </w:tc>
      </w:tr>
      <w:tr>
        <w:tc>
          <w:tcPr>
            <w:tcW w:w="32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Requirements change, tests are not updated</w:t>
            </w:r>
          </w:p>
        </w:tc>
        <w:tc>
          <w:tcPr>
            <w:tcW w:w="61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Outdated test suites reduce confidence in release decisions.</w:t>
            </w:r>
          </w:p>
        </w:tc>
      </w:tr>
      <w:tr>
        <w:tc>
          <w:tcPr>
            <w:tcW w:w="32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Knowledge locked in individual engineers</w:t>
            </w:r>
          </w:p>
        </w:tc>
        <w:tc>
          <w:tcPr>
            <w:tcW w:w="61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New team members cannot quickly produce test cases at the expected quality level.</w:t>
            </w:r>
          </w:p>
        </w:tc>
      </w:tr>
    </w:tbl>
    <w:p/>
    <w:p>
      <w:r>
        <w:br w:type="page"/>
      </w:r>
    </w:p>
    <w:p>
      <w:pPr>
        <w:pStyle w:val="Heading1"/>
        <w:spacing w:before="240" w:after="120"/>
        <w:jc w:val="left"/>
        <w:pBdr>
          <w:bottom w:val="single" w:sz="6" w:space="4" w:color="00B0A0"/>
        </w:pBdr>
      </w:pPr>
      <w:r>
        <w:rPr>
          <w:rFonts w:ascii="Arial" w:hAnsi="Arial"/>
          <w:color w:val="1F4E79"/>
        </w:rPr>
        <w:t>How It Works</w:t>
      </w:r>
    </w:p>
    <w:p>
      <w:pPr>
        <w:spacing w:before="60" w:after="100"/>
      </w:pPr>
      <w:r>
        <w:rPr>
          <w:rFonts w:ascii="Arial" w:hAnsi="Arial"/>
          <w:b w:val="0"/>
          <w:i w:val="0"/>
          <w:color w:val="1A1A1A"/>
          <w:sz w:val="22"/>
        </w:rPr>
        <w:t>The tool runs a five-step pipeline that takes a requirements file as input and produces a ready-to-use test suite as output. The entire process runs locally — no data is sent to any external server.</w:t>
      </w:r>
    </w:p>
    <w:p>
      <w:pPr>
        <w:spacing w:before="80" w:after="0"/>
      </w:pPr>
    </w:p>
    <w:tbl>
      <w:tblPr>
        <w:jc w:val="left"/>
        <w:tblLook w:firstColumn="1" w:firstRow="1" w:lastColumn="0" w:lastRow="0" w:noHBand="0" w:noVBand="1" w:val="04A0"/>
        <w:tblW w:w="9360" w:type="dxa"/>
      </w:tblPr>
      <w:tblGrid>
        <w:gridCol w:w="2016"/>
        <w:gridCol w:w="2016"/>
        <w:gridCol w:w="2016"/>
        <w:gridCol w:w="2016"/>
        <w:gridCol w:w="2016"/>
      </w:tblGrid>
      <w:tr>
        <w:tc>
          <w:tcPr>
            <w:tcW w:w="1872" w:type="dxa"/>
            <w:shd w:val="clear" w:color="auto" w:fill="1F4E79"/>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tcPr>
          <w:p>
            <w:pPr>
              <w:jc w:val="center"/>
            </w:pPr>
            <w:r>
              <w:rPr>
                <w:rFonts w:ascii="Arial" w:hAnsi="Arial"/>
                <w:b/>
                <w:color w:val="00B0A0"/>
                <w:sz w:val="18"/>
              </w:rPr>
              <w:t>STEP 1</w:t>
            </w:r>
          </w:p>
          <w:p>
            <w:pPr>
              <w:jc w:val="center"/>
            </w:pPr>
            <w:r>
              <w:rPr>
                <w:rFonts w:ascii="Arial" w:hAnsi="Arial"/>
                <w:b/>
                <w:color w:val="FFFFFF"/>
                <w:sz w:val="20"/>
              </w:rPr>
              <w:t>Read Requirements</w:t>
            </w:r>
          </w:p>
        </w:tc>
        <w:tc>
          <w:tcPr>
            <w:tcW w:w="1872" w:type="dxa"/>
            <w:shd w:val="clear" w:color="auto" w:fill="2E75B6"/>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tcPr>
          <w:p>
            <w:pPr>
              <w:jc w:val="center"/>
            </w:pPr>
            <w:r>
              <w:rPr>
                <w:rFonts w:ascii="Arial" w:hAnsi="Arial"/>
                <w:b/>
                <w:color w:val="00B0A0"/>
                <w:sz w:val="18"/>
              </w:rPr>
              <w:t>STEP 2</w:t>
            </w:r>
          </w:p>
          <w:p>
            <w:pPr>
              <w:jc w:val="center"/>
            </w:pPr>
            <w:r>
              <w:rPr>
                <w:rFonts w:ascii="Arial" w:hAnsi="Arial"/>
                <w:b/>
                <w:color w:val="FFFFFF"/>
                <w:sz w:val="20"/>
              </w:rPr>
              <w:t>Build Context</w:t>
            </w:r>
          </w:p>
        </w:tc>
        <w:tc>
          <w:tcPr>
            <w:tcW w:w="1872" w:type="dxa"/>
            <w:shd w:val="clear" w:color="auto" w:fill="1F4E79"/>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tcPr>
          <w:p>
            <w:pPr>
              <w:jc w:val="center"/>
            </w:pPr>
            <w:r>
              <w:rPr>
                <w:rFonts w:ascii="Arial" w:hAnsi="Arial"/>
                <w:b/>
                <w:color w:val="00B0A0"/>
                <w:sz w:val="18"/>
              </w:rPr>
              <w:t>STEP 3</w:t>
            </w:r>
          </w:p>
          <w:p>
            <w:pPr>
              <w:jc w:val="center"/>
            </w:pPr>
            <w:r>
              <w:rPr>
                <w:rFonts w:ascii="Arial" w:hAnsi="Arial"/>
                <w:b/>
                <w:color w:val="FFFFFF"/>
                <w:sz w:val="20"/>
              </w:rPr>
              <w:t>Generate</w:t>
            </w:r>
          </w:p>
        </w:tc>
        <w:tc>
          <w:tcPr>
            <w:tcW w:w="1872" w:type="dxa"/>
            <w:shd w:val="clear" w:color="auto" w:fill="2E75B6"/>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tcPr>
          <w:p>
            <w:pPr>
              <w:jc w:val="center"/>
            </w:pPr>
            <w:r>
              <w:rPr>
                <w:rFonts w:ascii="Arial" w:hAnsi="Arial"/>
                <w:b/>
                <w:color w:val="00B0A0"/>
                <w:sz w:val="18"/>
              </w:rPr>
              <w:t>STEP 4</w:t>
            </w:r>
          </w:p>
          <w:p>
            <w:pPr>
              <w:jc w:val="center"/>
            </w:pPr>
            <w:r>
              <w:rPr>
                <w:rFonts w:ascii="Arial" w:hAnsi="Arial"/>
                <w:b/>
                <w:color w:val="FFFFFF"/>
                <w:sz w:val="20"/>
              </w:rPr>
              <w:t>Validate</w:t>
            </w:r>
          </w:p>
        </w:tc>
        <w:tc>
          <w:tcPr>
            <w:tcW w:w="1872" w:type="dxa"/>
            <w:shd w:val="clear" w:color="auto" w:fill="1F4E79"/>
            <w:tcBorders>
              <w:top w:val="single" w:sz="4" w:space="0" w:color="FFFFFF"/>
              <w:left w:val="single" w:sz="4" w:space="0" w:color="FFFFFF"/>
              <w:bottom w:val="single" w:sz="4" w:space="0" w:color="FFFFFF"/>
              <w:right w:val="single" w:sz="4" w:space="0" w:color="FFFFFF"/>
            </w:tcBorders>
            <w:tcMar>
              <w:top w:w="80" w:type="dxa"/>
              <w:left w:w="100" w:type="dxa"/>
              <w:bottom w:w="80" w:type="dxa"/>
              <w:right w:w="100" w:type="dxa"/>
            </w:tcMar>
          </w:tcPr>
          <w:p>
            <w:pPr>
              <w:jc w:val="center"/>
            </w:pPr>
            <w:r>
              <w:rPr>
                <w:rFonts w:ascii="Arial" w:hAnsi="Arial"/>
                <w:b/>
                <w:color w:val="00B0A0"/>
                <w:sz w:val="18"/>
              </w:rPr>
              <w:t>STEP 5</w:t>
            </w:r>
          </w:p>
          <w:p>
            <w:pPr>
              <w:jc w:val="center"/>
            </w:pPr>
            <w:r>
              <w:rPr>
                <w:rFonts w:ascii="Arial" w:hAnsi="Arial"/>
                <w:b/>
                <w:color w:val="FFFFFF"/>
                <w:sz w:val="20"/>
              </w:rPr>
              <w:t>Export</w:t>
            </w:r>
          </w:p>
        </w:tc>
      </w:tr>
      <w:tr>
        <w:tc>
          <w:tcPr>
            <w:tcW w:w="1872" w:type="dxa"/>
            <w:shd w:val="clear" w:color="auto" w:fill="EEF4FB"/>
            <w:tcBorders>
              <w:top w:val="single" w:sz="4" w:space="0" w:color="2E75B6"/>
              <w:left w:val="single" w:sz="4" w:space="0" w:color="2E75B6"/>
              <w:bottom w:val="single" w:sz="4" w:space="0" w:color="2E75B6"/>
              <w:right w:val="single" w:sz="4" w:space="0" w:color="2E75B6"/>
            </w:tcBorders>
            <w:tcMar>
              <w:top w:w="80" w:type="dxa"/>
              <w:left w:w="100" w:type="dxa"/>
              <w:bottom w:w="80" w:type="dxa"/>
              <w:right w:w="100" w:type="dxa"/>
            </w:tcMar>
          </w:tcPr>
          <w:p>
            <w:pPr>
              <w:jc w:val="center"/>
            </w:pPr>
            <w:r>
              <w:rPr>
                <w:rFonts w:ascii="Arial" w:hAnsi="Arial"/>
                <w:color w:val="1A1A1A"/>
                <w:sz w:val="18"/>
              </w:rPr>
              <w:t>Parses your requirements file and extracts each acceptance criterion</w:t>
            </w:r>
          </w:p>
        </w:tc>
        <w:tc>
          <w:tcPr>
            <w:tcW w:w="1872" w:type="dxa"/>
            <w:shd w:val="clear" w:color="auto" w:fill="EEF4FB"/>
            <w:tcBorders>
              <w:top w:val="single" w:sz="4" w:space="0" w:color="2E75B6"/>
              <w:left w:val="single" w:sz="4" w:space="0" w:color="2E75B6"/>
              <w:bottom w:val="single" w:sz="4" w:space="0" w:color="2E75B6"/>
              <w:right w:val="single" w:sz="4" w:space="0" w:color="2E75B6"/>
            </w:tcBorders>
            <w:tcMar>
              <w:top w:w="80" w:type="dxa"/>
              <w:left w:w="100" w:type="dxa"/>
              <w:bottom w:w="80" w:type="dxa"/>
              <w:right w:w="100" w:type="dxa"/>
            </w:tcMar>
          </w:tcPr>
          <w:p>
            <w:pPr>
              <w:jc w:val="center"/>
            </w:pPr>
            <w:r>
              <w:rPr>
                <w:rFonts w:ascii="Arial" w:hAnsi="Arial"/>
                <w:color w:val="1A1A1A"/>
                <w:sz w:val="18"/>
              </w:rPr>
              <w:t>Stores requirements in a local database for cross-reference</w:t>
            </w:r>
          </w:p>
        </w:tc>
        <w:tc>
          <w:tcPr>
            <w:tcW w:w="1872" w:type="dxa"/>
            <w:shd w:val="clear" w:color="auto" w:fill="EEF4FB"/>
            <w:tcBorders>
              <w:top w:val="single" w:sz="4" w:space="0" w:color="2E75B6"/>
              <w:left w:val="single" w:sz="4" w:space="0" w:color="2E75B6"/>
              <w:bottom w:val="single" w:sz="4" w:space="0" w:color="2E75B6"/>
              <w:right w:val="single" w:sz="4" w:space="0" w:color="2E75B6"/>
            </w:tcBorders>
            <w:tcMar>
              <w:top w:w="80" w:type="dxa"/>
              <w:left w:w="100" w:type="dxa"/>
              <w:bottom w:w="80" w:type="dxa"/>
              <w:right w:w="100" w:type="dxa"/>
            </w:tcMar>
          </w:tcPr>
          <w:p>
            <w:pPr>
              <w:jc w:val="center"/>
            </w:pPr>
            <w:r>
              <w:rPr>
                <w:rFonts w:ascii="Arial" w:hAnsi="Arial"/>
                <w:color w:val="1A1A1A"/>
                <w:sz w:val="18"/>
              </w:rPr>
              <w:t>AI writes specific, executable test cases for each AC</w:t>
            </w:r>
          </w:p>
        </w:tc>
        <w:tc>
          <w:tcPr>
            <w:tcW w:w="1872" w:type="dxa"/>
            <w:shd w:val="clear" w:color="auto" w:fill="EEF4FB"/>
            <w:tcBorders>
              <w:top w:val="single" w:sz="4" w:space="0" w:color="2E75B6"/>
              <w:left w:val="single" w:sz="4" w:space="0" w:color="2E75B6"/>
              <w:bottom w:val="single" w:sz="4" w:space="0" w:color="2E75B6"/>
              <w:right w:val="single" w:sz="4" w:space="0" w:color="2E75B6"/>
            </w:tcBorders>
            <w:tcMar>
              <w:top w:w="80" w:type="dxa"/>
              <w:left w:w="100" w:type="dxa"/>
              <w:bottom w:w="80" w:type="dxa"/>
              <w:right w:w="100" w:type="dxa"/>
            </w:tcMar>
          </w:tcPr>
          <w:p>
            <w:pPr>
              <w:jc w:val="center"/>
            </w:pPr>
            <w:r>
              <w:rPr>
                <w:rFonts w:ascii="Arial" w:hAnsi="Arial"/>
                <w:color w:val="1A1A1A"/>
                <w:sz w:val="18"/>
              </w:rPr>
              <w:t>Quality checks score every TC and flag weak content</w:t>
            </w:r>
          </w:p>
        </w:tc>
        <w:tc>
          <w:tcPr>
            <w:tcW w:w="1872" w:type="dxa"/>
            <w:shd w:val="clear" w:color="auto" w:fill="EEF4FB"/>
            <w:tcBorders>
              <w:top w:val="single" w:sz="4" w:space="0" w:color="2E75B6"/>
              <w:left w:val="single" w:sz="4" w:space="0" w:color="2E75B6"/>
              <w:bottom w:val="single" w:sz="4" w:space="0" w:color="2E75B6"/>
              <w:right w:val="single" w:sz="4" w:space="0" w:color="2E75B6"/>
            </w:tcBorders>
            <w:tcMar>
              <w:top w:w="80" w:type="dxa"/>
              <w:left w:w="100" w:type="dxa"/>
              <w:bottom w:w="80" w:type="dxa"/>
              <w:right w:w="100" w:type="dxa"/>
            </w:tcMar>
          </w:tcPr>
          <w:p>
            <w:pPr>
              <w:jc w:val="center"/>
            </w:pPr>
            <w:r>
              <w:rPr>
                <w:rFonts w:ascii="Arial" w:hAnsi="Arial"/>
                <w:color w:val="1A1A1A"/>
                <w:sz w:val="18"/>
              </w:rPr>
              <w:t>Outputs CSV and Zephyr Scale import files</w:t>
            </w:r>
          </w:p>
        </w:tc>
      </w:tr>
    </w:tbl>
    <w:p/>
    <w:p>
      <w:pPr>
        <w:spacing w:before="100" w:after="0"/>
      </w:pPr>
    </w:p>
    <w:p>
      <w:pPr>
        <w:pStyle w:val="Heading2"/>
        <w:spacing w:before="240" w:after="120"/>
        <w:jc w:val="left"/>
      </w:pPr>
      <w:r>
        <w:rPr>
          <w:rFonts w:ascii="Arial" w:hAnsi="Arial"/>
          <w:color w:val="2E75B6"/>
        </w:rPr>
        <w:t>Step 1: Read Requirements</w:t>
      </w:r>
    </w:p>
    <w:p>
      <w:pPr>
        <w:spacing w:before="60" w:after="100"/>
      </w:pPr>
      <w:r>
        <w:rPr>
          <w:rFonts w:ascii="Arial" w:hAnsi="Arial"/>
          <w:b w:val="0"/>
          <w:i w:val="0"/>
          <w:color w:val="1A1A1A"/>
          <w:sz w:val="22"/>
        </w:rPr>
        <w:t>The tool reads your requirements file and extracts each requirement's title, description, priority, and every acceptance criterion listed.</w:t>
      </w:r>
    </w:p>
    <w:tbl>
      <w:tblPr>
        <w:jc w:val="left"/>
        <w:tblLook w:firstColumn="1" w:firstRow="1" w:lastColumn="0" w:lastRow="0" w:noHBand="0" w:noVBand="1" w:val="04A0"/>
        <w:tblW w:w="9360" w:type="dxa"/>
      </w:tblPr>
      <w:tblGrid>
        <w:gridCol w:w="10080"/>
      </w:tblGrid>
      <w:tr>
        <w:tc>
          <w:tcPr>
            <w:tcW w:w="9360" w:type="dxa"/>
            <w:shd w:val="clear" w:color="auto" w:fill="EEF4FB"/>
            <w:tcBorders>
              <w:top w:val="single" w:sz="6" w:space="0" w:color="2E75B6"/>
              <w:left w:val="single" w:sz="6" w:space="0" w:color="2E75B6"/>
              <w:bottom w:val="single" w:sz="6" w:space="0" w:color="2E75B6"/>
              <w:right w:val="single" w:sz="6" w:space="0" w:color="2E75B6"/>
            </w:tcBorders>
            <w:tcMar>
              <w:top w:w="120" w:type="dxa"/>
              <w:left w:w="200" w:type="dxa"/>
              <w:bottom w:w="120" w:type="dxa"/>
              <w:right w:w="200" w:type="dxa"/>
            </w:tcMar>
          </w:tcPr>
          <w:p>
            <w:pPr>
              <w:spacing w:after="80"/>
            </w:pPr>
            <w:r>
              <w:rPr>
                <w:rFonts w:ascii="Arial" w:hAnsi="Arial"/>
                <w:b/>
                <w:color w:val="2E75B6"/>
                <w:sz w:val="22"/>
              </w:rPr>
              <w:t>Supported File Formats</w:t>
            </w:r>
          </w:p>
          <w:p>
            <w:pPr>
              <w:spacing w:before="30" w:after="30"/>
              <w:ind w:left="288"/>
            </w:pPr>
            <w:r>
              <w:rPr>
                <w:rFonts w:ascii="Arial" w:hAnsi="Arial"/>
                <w:color w:val="1A1A1A"/>
                <w:sz w:val="20"/>
              </w:rPr>
              <w:t xml:space="preserve">  CSV / Excel (.csv, .xlsx) — structured requirement tables</w:t>
            </w:r>
          </w:p>
          <w:p>
            <w:pPr>
              <w:spacing w:before="30" w:after="30"/>
              <w:ind w:left="288"/>
            </w:pPr>
            <w:r>
              <w:rPr>
                <w:rFonts w:ascii="Arial" w:hAnsi="Arial"/>
                <w:color w:val="1A1A1A"/>
                <w:sz w:val="20"/>
              </w:rPr>
              <w:t xml:space="preserve">  Word documents (.docx)</w:t>
            </w:r>
          </w:p>
          <w:p>
            <w:pPr>
              <w:spacing w:before="30" w:after="30"/>
              <w:ind w:left="288"/>
            </w:pPr>
            <w:r>
              <w:rPr>
                <w:rFonts w:ascii="Arial" w:hAnsi="Arial"/>
                <w:color w:val="1A1A1A"/>
                <w:sz w:val="20"/>
              </w:rPr>
              <w:t xml:space="preserve">  PDF documents (.pdf)</w:t>
            </w:r>
          </w:p>
          <w:p>
            <w:pPr>
              <w:spacing w:before="30" w:after="30"/>
              <w:ind w:left="288"/>
            </w:pPr>
            <w:r>
              <w:rPr>
                <w:rFonts w:ascii="Arial" w:hAnsi="Arial"/>
                <w:color w:val="1A1A1A"/>
                <w:sz w:val="20"/>
              </w:rPr>
              <w:t xml:space="preserve">  Plain text or Markdown (.txt, .md)</w:t>
            </w:r>
          </w:p>
          <w:p>
            <w:pPr>
              <w:spacing w:before="30" w:after="30"/>
              <w:ind w:left="288"/>
            </w:pPr>
            <w:r>
              <w:rPr>
                <w:rFonts w:ascii="Arial" w:hAnsi="Arial"/>
                <w:color w:val="1A1A1A"/>
                <w:sz w:val="20"/>
              </w:rPr>
              <w:t xml:space="preserve">  JSON requirement exports</w:t>
            </w:r>
          </w:p>
        </w:tc>
      </w:tr>
    </w:tbl>
    <w:p/>
    <w:p>
      <w:pPr>
        <w:pStyle w:val="Heading2"/>
        <w:spacing w:before="240" w:after="120"/>
        <w:jc w:val="left"/>
      </w:pPr>
      <w:r>
        <w:rPr>
          <w:rFonts w:ascii="Arial" w:hAnsi="Arial"/>
          <w:color w:val="2E75B6"/>
        </w:rPr>
        <w:t>Step 2: Build Context</w:t>
      </w:r>
    </w:p>
    <w:p>
      <w:pPr>
        <w:spacing w:before="60" w:after="100"/>
      </w:pPr>
      <w:r>
        <w:rPr>
          <w:rFonts w:ascii="Arial" w:hAnsi="Arial"/>
          <w:b w:val="0"/>
          <w:i w:val="0"/>
          <w:color w:val="1A1A1A"/>
          <w:sz w:val="22"/>
        </w:rPr>
        <w:t>Before generating test cases, the tool builds a knowledge base from your requirements. This allows it to find related requirements, learn screen names and UI element names, and retrieve previously approved test cases as quality templates. This knowledge base persists between runs.</w:t>
      </w:r>
    </w:p>
    <w:p>
      <w:pPr>
        <w:spacing w:before="80" w:after="0"/>
      </w:pPr>
    </w:p>
    <w:p>
      <w:pPr>
        <w:pStyle w:val="Heading2"/>
        <w:spacing w:before="240" w:after="120"/>
        <w:jc w:val="left"/>
      </w:pPr>
      <w:r>
        <w:rPr>
          <w:rFonts w:ascii="Arial" w:hAnsi="Arial"/>
          <w:color w:val="2E75B6"/>
        </w:rPr>
        <w:t>Step 3: Generate Test Cases</w:t>
      </w:r>
    </w:p>
    <w:p>
      <w:pPr>
        <w:spacing w:before="60" w:after="100"/>
      </w:pPr>
      <w:r>
        <w:rPr>
          <w:rFonts w:ascii="Arial" w:hAnsi="Arial"/>
          <w:b w:val="0"/>
          <w:i w:val="0"/>
          <w:color w:val="1A1A1A"/>
          <w:sz w:val="22"/>
        </w:rPr>
        <w:t>For each acceptance criterion, the AI:</w:t>
      </w:r>
    </w:p>
    <w:p>
      <w:pPr>
        <w:pStyle w:val="ListNumber"/>
        <w:spacing w:before="60" w:after="60"/>
        <w:ind w:left="360"/>
      </w:pPr>
      <w:r>
        <w:rPr>
          <w:rFonts w:ascii="Arial" w:hAnsi="Arial"/>
          <w:color w:val="1A1A1A"/>
          <w:sz w:val="22"/>
        </w:rPr>
        <w:t>Classifies the criterion type (eligibility rule, UI behaviour, timing constraint, data validation, security control, or general)</w:t>
      </w:r>
    </w:p>
    <w:p>
      <w:pPr>
        <w:pStyle w:val="ListNumber"/>
        <w:spacing w:before="60" w:after="60"/>
        <w:ind w:left="360"/>
      </w:pPr>
      <w:r>
        <w:rPr>
          <w:rFonts w:ascii="Arial" w:hAnsi="Arial"/>
          <w:color w:val="1A1A1A"/>
          <w:sz w:val="22"/>
        </w:rPr>
        <w:t>Selects the right test approach for that type</w:t>
      </w:r>
    </w:p>
    <w:p>
      <w:pPr>
        <w:pStyle w:val="ListNumber"/>
        <w:spacing w:before="60" w:after="60"/>
        <w:ind w:left="360"/>
      </w:pPr>
      <w:r>
        <w:rPr>
          <w:rFonts w:ascii="Arial" w:hAnsi="Arial"/>
          <w:color w:val="1A1A1A"/>
          <w:sz w:val="22"/>
        </w:rPr>
        <w:t>Writes a positive test case (proving the happy path works)</w:t>
      </w:r>
    </w:p>
    <w:p>
      <w:pPr>
        <w:pStyle w:val="ListNumber"/>
        <w:spacing w:before="60" w:after="60"/>
        <w:ind w:left="360"/>
      </w:pPr>
      <w:r>
        <w:rPr>
          <w:rFonts w:ascii="Arial" w:hAnsi="Arial"/>
          <w:color w:val="1A1A1A"/>
          <w:sz w:val="22"/>
        </w:rPr>
        <w:t>Writes a negative test case (proving failure handling is correct)</w:t>
      </w:r>
    </w:p>
    <w:p>
      <w:pPr>
        <w:pStyle w:val="ListNumber"/>
        <w:spacing w:before="60" w:after="60"/>
        <w:ind w:left="360"/>
      </w:pPr>
      <w:r>
        <w:rPr>
          <w:rFonts w:ascii="Arial" w:hAnsi="Arial"/>
          <w:color w:val="1A1A1A"/>
          <w:sz w:val="22"/>
        </w:rPr>
        <w:t>Writes an edge-case test case (proving boundary conditions are handled)</w:t>
      </w:r>
    </w:p>
    <w:p>
      <w:pPr>
        <w:spacing w:before="80" w:after="0"/>
      </w:pPr>
    </w:p>
    <w:p>
      <w:pPr>
        <w:spacing w:before="60" w:after="100"/>
      </w:pPr>
      <w:r>
        <w:rPr>
          <w:rFonts w:ascii="Arial" w:hAnsi="Arial"/>
          <w:b w:val="0"/>
          <w:i w:val="0"/>
          <w:color w:val="1A1A1A"/>
          <w:sz w:val="22"/>
        </w:rPr>
        <w:t>Every generated test case contains all of the following fields:</w:t>
      </w:r>
    </w:p>
    <w:p>
      <w:pPr>
        <w:spacing w:before="40" w:after="0"/>
      </w:pPr>
    </w:p>
    <w:tbl>
      <w:tblPr>
        <w:jc w:val="left"/>
        <w:tblLook w:firstColumn="1" w:firstRow="1" w:lastColumn="0" w:lastRow="0" w:noHBand="0" w:noVBand="1" w:val="04A0"/>
        <w:tblW w:w="9360" w:type="dxa"/>
      </w:tblPr>
      <w:tblGrid>
        <w:gridCol w:w="5040"/>
        <w:gridCol w:w="5040"/>
      </w:tblGrid>
      <w:tr>
        <w:tc>
          <w:tcPr>
            <w:tcW w:w="216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Field</w:t>
            </w:r>
          </w:p>
        </w:tc>
        <w:tc>
          <w:tcPr>
            <w:tcW w:w="720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Example (Banking — RCD Eligibility)</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Title</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Verify ineligible user (account &lt; 90 days) is shown specific rejection reason</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Description</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Verifies that a customer with a new account (less than 90 days old) cannot enrol in RCD and sees the reason.</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Preconditions</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Customer is logged in with an account opened 45 days ago. Deposit section is accessible.</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Test Steps</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5 numbered steps, each naming the exact button or field, with an expected result after each action.</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Expected Outcome</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Modal displays: 'Remote Cheque Deposit unavailable. Account must be at least 90 days old.' Enrol button is disabled.</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BDD Scenario</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Given / When / Then format for teams using Gherkin or Cucumber.</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Component</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Remote Cheque Deposit Enrollment Screen</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Priority</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High</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Tags</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eligibility, negative, rcd-enrollment</w:t>
            </w:r>
          </w:p>
        </w:tc>
      </w:tr>
    </w:tbl>
    <w:p/>
    <w:p>
      <w:r>
        <w:br w:type="page"/>
      </w:r>
    </w:p>
    <w:p>
      <w:pPr>
        <w:pStyle w:val="Heading1"/>
        <w:spacing w:before="240" w:after="120"/>
        <w:jc w:val="left"/>
        <w:pBdr>
          <w:bottom w:val="single" w:sz="6" w:space="4" w:color="00B0A0"/>
        </w:pBdr>
      </w:pPr>
      <w:r>
        <w:rPr>
          <w:rFonts w:ascii="Arial" w:hAnsi="Arial"/>
          <w:color w:val="1F4E79"/>
        </w:rPr>
        <w:t>Understanding Acceptance Criterion Types</w:t>
      </w:r>
    </w:p>
    <w:p>
      <w:pPr>
        <w:spacing w:before="60" w:after="100"/>
      </w:pPr>
      <w:r>
        <w:rPr>
          <w:rFonts w:ascii="Arial" w:hAnsi="Arial"/>
          <w:b w:val="0"/>
          <w:i w:val="0"/>
          <w:color w:val="1A1A1A"/>
          <w:sz w:val="22"/>
        </w:rPr>
        <w:t>The tool automatically identifies the type of each acceptance criterion and applies the most appropriate test strategy. You do not need to classify them manually.</w:t>
      </w:r>
    </w:p>
    <w:p>
      <w:pPr>
        <w:spacing w:before="80" w:after="0"/>
      </w:pPr>
    </w:p>
    <w:tbl>
      <w:tblPr>
        <w:jc w:val="left"/>
        <w:tblLook w:firstColumn="1" w:firstRow="1" w:lastColumn="0" w:lastRow="0" w:noHBand="0" w:noVBand="1" w:val="04A0"/>
        <w:tblW w:w="9360" w:type="dxa"/>
      </w:tblPr>
      <w:tblGrid>
        <w:gridCol w:w="3360"/>
        <w:gridCol w:w="3360"/>
        <w:gridCol w:w="3360"/>
      </w:tblGrid>
      <w:tr>
        <w:tc>
          <w:tcPr>
            <w:tcW w:w="156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AC Type</w:t>
            </w:r>
          </w:p>
        </w:tc>
        <w:tc>
          <w:tcPr>
            <w:tcW w:w="288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What It Tests</w:t>
            </w:r>
          </w:p>
        </w:tc>
        <w:tc>
          <w:tcPr>
            <w:tcW w:w="492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Banking Example</w:t>
            </w:r>
          </w:p>
        </w:tc>
      </w:tr>
      <w:tr>
        <w:tc>
          <w:tcPr>
            <w:tcW w:w="15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Eligibility</w:t>
            </w:r>
          </w:p>
        </w:tc>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Who can and cannot use a feature. Rules about account age, customer status, or access rights.</w:t>
            </w:r>
          </w:p>
        </w:tc>
        <w:tc>
          <w:tcPr>
            <w:tcW w:w="49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Accounts less than 90 days old are shown a specific ineligibility reason and cannot enrol.</w:t>
            </w:r>
          </w:p>
        </w:tc>
      </w:tr>
      <w:tr>
        <w:tc>
          <w:tcPr>
            <w:tcW w:w="15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UI Behaviour</w:t>
            </w:r>
          </w:p>
        </w:tc>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What the screen shows, how elements appear, and how the interface responds to user actions.</w:t>
            </w:r>
          </w:p>
        </w:tc>
        <w:tc>
          <w:tcPr>
            <w:tcW w:w="49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Terms and Conditions are displayed in full with scroll-to-bottom required before the Accept button is enabled.</w:t>
            </w:r>
          </w:p>
        </w:tc>
      </w:tr>
      <w:tr>
        <w:tc>
          <w:tcPr>
            <w:tcW w:w="15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Timing</w:t>
            </w:r>
          </w:p>
        </w:tc>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Time limits, deadlines, and performance thresholds.</w:t>
            </w:r>
          </w:p>
        </w:tc>
        <w:tc>
          <w:tcPr>
            <w:tcW w:w="49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OTP is delivered to the registered mobile number within 60 seconds of the request.</w:t>
            </w:r>
          </w:p>
        </w:tc>
      </w:tr>
      <w:tr>
        <w:tc>
          <w:tcPr>
            <w:tcW w:w="15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Data Validation</w:t>
            </w:r>
          </w:p>
        </w:tc>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Field input rules, boundary values, and format requirements.</w:t>
            </w:r>
          </w:p>
        </w:tc>
        <w:tc>
          <w:tcPr>
            <w:tcW w:w="49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cheque image rejected due to size shows an error message with the exact size limit.</w:t>
            </w:r>
          </w:p>
        </w:tc>
      </w:tr>
      <w:tr>
        <w:tc>
          <w:tcPr>
            <w:tcW w:w="15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Security</w:t>
            </w:r>
          </w:p>
        </w:tc>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Authentication, authorisation, session management, and access controls.</w:t>
            </w:r>
          </w:p>
        </w:tc>
        <w:tc>
          <w:tcPr>
            <w:tcW w:w="49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Biometric re-verification is attempted first; falls back to OTP only if biometric is unavailable.</w:t>
            </w:r>
          </w:p>
        </w:tc>
      </w:tr>
      <w:tr>
        <w:tc>
          <w:tcPr>
            <w:tcW w:w="15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General</w:t>
            </w:r>
          </w:p>
        </w:tc>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Any acceptance criterion that doesn't fit the above categories.</w:t>
            </w:r>
          </w:p>
        </w:tc>
        <w:tc>
          <w:tcPr>
            <w:tcW w:w="49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enrollment prompt appears on first navigation to the Deposit section only.</w:t>
            </w:r>
          </w:p>
        </w:tc>
      </w:tr>
    </w:tbl>
    <w:p/>
    <w:p>
      <w:r>
        <w:br w:type="page"/>
      </w:r>
    </w:p>
    <w:p>
      <w:pPr>
        <w:pStyle w:val="Heading1"/>
        <w:spacing w:before="240" w:after="120"/>
        <w:jc w:val="left"/>
        <w:pBdr>
          <w:bottom w:val="single" w:sz="6" w:space="4" w:color="00B0A0"/>
        </w:pBdr>
      </w:pPr>
      <w:r>
        <w:rPr>
          <w:rFonts w:ascii="Arial" w:hAnsi="Arial"/>
          <w:color w:val="1F4E79"/>
        </w:rPr>
        <w:t>Output Files</w:t>
      </w:r>
    </w:p>
    <w:p>
      <w:pPr>
        <w:spacing w:before="60" w:after="100"/>
      </w:pPr>
      <w:r>
        <w:rPr>
          <w:rFonts w:ascii="Arial" w:hAnsi="Arial"/>
          <w:b w:val="0"/>
          <w:i w:val="0"/>
          <w:color w:val="1A1A1A"/>
          <w:sz w:val="22"/>
        </w:rPr>
        <w:t>Every run produces three output files in the output/ directory:</w:t>
      </w:r>
    </w:p>
    <w:p>
      <w:pPr>
        <w:spacing w:before="80" w:after="0"/>
      </w:pPr>
    </w:p>
    <w:p>
      <w:pPr>
        <w:pStyle w:val="Heading2"/>
        <w:spacing w:before="240" w:after="120"/>
        <w:jc w:val="left"/>
      </w:pPr>
      <w:r>
        <w:rPr>
          <w:rFonts w:ascii="Arial" w:hAnsi="Arial"/>
          <w:color w:val="2E75B6"/>
        </w:rPr>
        <w:t>1. Standard Test Cases (test_cases.csv)</w:t>
      </w:r>
    </w:p>
    <w:p>
      <w:pPr>
        <w:spacing w:before="60" w:after="100"/>
      </w:pPr>
      <w:r>
        <w:rPr>
          <w:rFonts w:ascii="Arial" w:hAnsi="Arial"/>
          <w:b w:val="0"/>
          <w:i w:val="0"/>
          <w:color w:val="1A1A1A"/>
          <w:sz w:val="22"/>
        </w:rPr>
        <w:t>A spreadsheet with one row per test case. Contains all fields: title, description, preconditions, steps, expected outcome, BDD scenario, priority, category, and component. Open in Excel or import into any test management tool.</w:t>
      </w:r>
    </w:p>
    <w:tbl>
      <w:tblPr>
        <w:jc w:val="left"/>
        <w:tblLook w:firstColumn="1" w:firstRow="1" w:lastColumn="0" w:lastRow="0" w:noHBand="0" w:noVBand="1" w:val="04A0"/>
        <w:tblW w:w="9360" w:type="dxa"/>
      </w:tblPr>
      <w:tblGrid>
        <w:gridCol w:w="10080"/>
      </w:tblGrid>
      <w:tr>
        <w:tc>
          <w:tcPr>
            <w:tcW w:w="9360" w:type="dxa"/>
            <w:shd w:val="clear" w:color="auto" w:fill="EEF4FB"/>
            <w:tcBorders>
              <w:top w:val="single" w:sz="6" w:space="0" w:color="2E75B6"/>
              <w:left w:val="single" w:sz="6" w:space="0" w:color="2E75B6"/>
              <w:bottom w:val="single" w:sz="6" w:space="0" w:color="2E75B6"/>
              <w:right w:val="single" w:sz="6" w:space="0" w:color="2E75B6"/>
            </w:tcBorders>
            <w:tcMar>
              <w:top w:w="120" w:type="dxa"/>
              <w:left w:w="200" w:type="dxa"/>
              <w:bottom w:w="120" w:type="dxa"/>
              <w:right w:w="200" w:type="dxa"/>
            </w:tcMar>
          </w:tcPr>
          <w:p>
            <w:pPr>
              <w:spacing w:after="80"/>
            </w:pPr>
            <w:r>
              <w:rPr>
                <w:rFonts w:ascii="Arial" w:hAnsi="Arial"/>
                <w:b/>
                <w:color w:val="2E75B6"/>
                <w:sz w:val="22"/>
              </w:rPr>
              <w:t>Steps Column Format</w:t>
            </w:r>
          </w:p>
          <w:p>
            <w:pPr>
              <w:spacing w:before="30" w:after="30"/>
              <w:ind w:left="288"/>
            </w:pPr>
            <w:r>
              <w:rPr>
                <w:rFonts w:ascii="Arial" w:hAnsi="Arial"/>
                <w:color w:val="1A1A1A"/>
                <w:sz w:val="20"/>
              </w:rPr>
              <w:t xml:space="preserve">  Steps are written as numbered lines in a single cell:</w:t>
            </w:r>
          </w:p>
          <w:p>
            <w:pPr>
              <w:spacing w:before="30" w:after="30"/>
              <w:ind w:left="288"/>
            </w:pPr>
            <w:r>
              <w:rPr>
                <w:rFonts w:ascii="Arial" w:hAnsi="Arial"/>
                <w:color w:val="1A1A1A"/>
                <w:sz w:val="20"/>
              </w:rPr>
              <w:t xml:space="preserve">  1. Navigate to the Deposit section in the app  | Expected: Home screen &gt; Deposit tab is displayed</w:t>
            </w:r>
          </w:p>
          <w:p>
            <w:pPr>
              <w:spacing w:before="30" w:after="30"/>
              <w:ind w:left="288"/>
            </w:pPr>
            <w:r>
              <w:rPr>
                <w:rFonts w:ascii="Arial" w:hAnsi="Arial"/>
                <w:color w:val="1A1A1A"/>
                <w:sz w:val="20"/>
              </w:rPr>
              <w:t xml:space="preserve">  2. Tap 'Remote Cheque Deposit'                 | Expected: RCD enrollment prompt appears</w:t>
            </w:r>
          </w:p>
          <w:p>
            <w:pPr>
              <w:spacing w:before="30" w:after="30"/>
              <w:ind w:left="288"/>
            </w:pPr>
            <w:r>
              <w:rPr>
                <w:rFonts w:ascii="Arial" w:hAnsi="Arial"/>
                <w:color w:val="1A1A1A"/>
                <w:sz w:val="20"/>
              </w:rPr>
              <w:t xml:space="preserve">  3. Tap 'Enroll Now'                            | Expected: Terms and Conditions screen loads</w:t>
            </w:r>
          </w:p>
        </w:tc>
      </w:tr>
    </w:tbl>
    <w:p/>
    <w:p>
      <w:pPr>
        <w:pStyle w:val="Heading2"/>
        <w:spacing w:before="240" w:after="120"/>
        <w:jc w:val="left"/>
      </w:pPr>
      <w:r>
        <w:rPr>
          <w:rFonts w:ascii="Arial" w:hAnsi="Arial"/>
          <w:color w:val="2E75B6"/>
        </w:rPr>
        <w:t>2. Zephyr Scale Import (zephyr_test_cases.csv)</w:t>
      </w:r>
    </w:p>
    <w:p>
      <w:pPr>
        <w:spacing w:before="60" w:after="100"/>
      </w:pPr>
      <w:r>
        <w:rPr>
          <w:rFonts w:ascii="Arial" w:hAnsi="Arial"/>
          <w:b w:val="0"/>
          <w:i w:val="0"/>
          <w:color w:val="1A1A1A"/>
          <w:sz w:val="22"/>
        </w:rPr>
        <w:t>Ready to import directly into Zephyr Scale (Jira). Test cases are organised by requirement ID in folders (e.g., Project / REQ-001). The file includes the tab-separated step format that Zephyr Scale expects.</w:t>
      </w:r>
    </w:p>
    <w:p>
      <w:pPr>
        <w:spacing w:before="60" w:after="0"/>
      </w:pPr>
    </w:p>
    <w:tbl>
      <w:tblPr>
        <w:jc w:val="left"/>
        <w:tblLook w:firstColumn="1" w:firstRow="1" w:lastColumn="0" w:lastRow="0" w:noHBand="0" w:noVBand="1" w:val="04A0"/>
        <w:tblW w:w="9360" w:type="dxa"/>
      </w:tblPr>
      <w:tblGrid>
        <w:gridCol w:w="5040"/>
        <w:gridCol w:w="5040"/>
      </w:tblGrid>
      <w:tr>
        <w:tc>
          <w:tcPr>
            <w:tcW w:w="216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Zephyr Field</w:t>
            </w:r>
          </w:p>
        </w:tc>
        <w:tc>
          <w:tcPr>
            <w:tcW w:w="720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Value Source</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Name</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 case title</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Status</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Draft (awaiting review)</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Priority</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High / Medium / Low from the requirement</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Component</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Screen name extracted from requirements (e.g., OTP Verification Screen)</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Labels</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Tags from the requirement</w:t>
            </w:r>
          </w:p>
        </w:tc>
      </w:tr>
      <w:tr>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Folder</w:t>
            </w:r>
          </w:p>
        </w:tc>
        <w:tc>
          <w:tcPr>
            <w:tcW w:w="720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Project folder / Requirement ID</w:t>
            </w:r>
          </w:p>
        </w:tc>
      </w:tr>
      <w:tr>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Requirement</w:t>
            </w:r>
          </w:p>
        </w:tc>
        <w:tc>
          <w:tcPr>
            <w:tcW w:w="720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originating requirement ID — links back to your Jira story</w:t>
            </w:r>
          </w:p>
        </w:tc>
      </w:tr>
    </w:tbl>
    <w:p/>
    <w:p>
      <w:pPr>
        <w:pStyle w:val="Heading2"/>
        <w:spacing w:before="240" w:after="120"/>
        <w:jc w:val="left"/>
      </w:pPr>
      <w:r>
        <w:rPr>
          <w:rFonts w:ascii="Arial" w:hAnsi="Arial"/>
          <w:color w:val="2E75B6"/>
        </w:rPr>
        <w:t>3. Generation Report (generation_report.json)</w:t>
      </w:r>
    </w:p>
    <w:p>
      <w:pPr>
        <w:spacing w:before="60" w:after="100"/>
      </w:pPr>
      <w:r>
        <w:rPr>
          <w:rFonts w:ascii="Arial" w:hAnsi="Arial"/>
          <w:b w:val="0"/>
          <w:i w:val="0"/>
          <w:color w:val="1A1A1A"/>
          <w:sz w:val="22"/>
        </w:rPr>
        <w:t>A machine-readable summary useful for CI/CD integration:</w:t>
      </w:r>
    </w:p>
    <w:p>
      <w:pPr>
        <w:pStyle w:val="ListBullet"/>
        <w:spacing w:before="40" w:after="40"/>
        <w:ind w:left="360"/>
      </w:pPr>
      <w:r>
        <w:rPr>
          <w:rFonts w:ascii="Arial" w:hAnsi="Arial"/>
          <w:color w:val="1A1A1A"/>
          <w:sz w:val="22"/>
        </w:rPr>
        <w:t>Total requirements processed and test cases generated</w:t>
      </w:r>
    </w:p>
    <w:p>
      <w:pPr>
        <w:pStyle w:val="ListBullet"/>
        <w:spacing w:before="40" w:after="40"/>
        <w:ind w:left="360"/>
      </w:pPr>
      <w:r>
        <w:rPr>
          <w:rFonts w:ascii="Arial" w:hAnsi="Arial"/>
          <w:color w:val="1A1A1A"/>
          <w:sz w:val="22"/>
        </w:rPr>
        <w:t>Breakdown by test type (positive / negative / edge case) and priority</w:t>
      </w:r>
    </w:p>
    <w:p>
      <w:pPr>
        <w:pStyle w:val="ListBullet"/>
        <w:spacing w:before="40" w:after="40"/>
        <w:ind w:left="360"/>
      </w:pPr>
      <w:r>
        <w:rPr>
          <w:rFonts w:ascii="Arial" w:hAnsi="Arial"/>
          <w:color w:val="1A1A1A"/>
          <w:sz w:val="22"/>
        </w:rPr>
        <w:t>Per-requirement counts — identify requirements with low coverage</w:t>
      </w:r>
    </w:p>
    <w:p>
      <w:pPr>
        <w:pStyle w:val="ListBullet"/>
        <w:spacing w:before="40" w:after="40"/>
        <w:ind w:left="360"/>
      </w:pPr>
      <w:r>
        <w:rPr>
          <w:rFonts w:ascii="Arial" w:hAnsi="Arial"/>
          <w:color w:val="1A1A1A"/>
          <w:sz w:val="22"/>
        </w:rPr>
        <w:t>Full model metadata (which AI model was used, generation timestamp)</w:t>
      </w:r>
    </w:p>
    <w:p>
      <w:r>
        <w:br w:type="page"/>
      </w:r>
    </w:p>
    <w:p>
      <w:pPr>
        <w:pStyle w:val="Heading1"/>
        <w:spacing w:before="240" w:after="120"/>
        <w:jc w:val="left"/>
        <w:pBdr>
          <w:bottom w:val="single" w:sz="6" w:space="4" w:color="00B0A0"/>
        </w:pBdr>
      </w:pPr>
      <w:r>
        <w:rPr>
          <w:rFonts w:ascii="Arial" w:hAnsi="Arial"/>
          <w:color w:val="1F4E79"/>
        </w:rPr>
        <w:t>Quality Assurance &amp; The Feedback Loop</w:t>
      </w:r>
    </w:p>
    <w:p>
      <w:pPr>
        <w:pStyle w:val="Heading2"/>
        <w:spacing w:before="240" w:after="120"/>
        <w:jc w:val="left"/>
      </w:pPr>
      <w:r>
        <w:rPr>
          <w:rFonts w:ascii="Arial" w:hAnsi="Arial"/>
          <w:color w:val="2E75B6"/>
        </w:rPr>
        <w:t>Built-In Quality Checks</w:t>
      </w:r>
    </w:p>
    <w:p>
      <w:pPr>
        <w:spacing w:before="60" w:after="100"/>
      </w:pPr>
      <w:r>
        <w:rPr>
          <w:rFonts w:ascii="Arial" w:hAnsi="Arial"/>
          <w:b w:val="0"/>
          <w:i w:val="0"/>
          <w:color w:val="1A1A1A"/>
          <w:sz w:val="22"/>
        </w:rPr>
        <w:t>Every generated test case is automatically scored out of 100. The system checks for:</w:t>
      </w:r>
    </w:p>
    <w:p>
      <w:pPr>
        <w:spacing w:before="60" w:after="0"/>
      </w:pPr>
    </w:p>
    <w:tbl>
      <w:tblPr>
        <w:jc w:val="left"/>
        <w:tblLook w:firstColumn="1" w:firstRow="1" w:lastColumn="0" w:lastRow="0" w:noHBand="0" w:noVBand="1" w:val="04A0"/>
        <w:tblW w:w="9360" w:type="dxa"/>
      </w:tblPr>
      <w:tblGrid>
        <w:gridCol w:w="5040"/>
        <w:gridCol w:w="5040"/>
      </w:tblGrid>
      <w:tr>
        <w:tc>
          <w:tcPr>
            <w:tcW w:w="252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Quality Check</w:t>
            </w:r>
          </w:p>
        </w:tc>
        <w:tc>
          <w:tcPr>
            <w:tcW w:w="684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What It Detects</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Generic steps</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Steps that say 'perform the action' instead of naming the actual button or field.</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Trivial expected outcomes</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Outcomes that say 'test passes' instead of describing the observable result.</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Missing preconditions</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 cases with no system state or test data setup defined.</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Repeated sentences</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sign the AI got confused and looped the same text — flagged for regeneration.</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Vague components</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Tests assigned to 'the application' instead of a specific screen name.</w:t>
            </w:r>
          </w:p>
        </w:tc>
      </w:tr>
    </w:tbl>
    <w:p/>
    <w:p>
      <w:pPr>
        <w:spacing w:before="60" w:after="100"/>
      </w:pPr>
      <w:r>
        <w:rPr>
          <w:rFonts w:ascii="Arial" w:hAnsi="Arial"/>
          <w:b w:val="0"/>
          <w:i w:val="0"/>
          <w:color w:val="1A1A1A"/>
          <w:sz w:val="22"/>
        </w:rPr>
        <w:t>A test case passes quality review when it scores 75/100 or above and has no error-level issues. Failing test cases can be repaired individually using the CLI tool — fixing only the specific field that failed, without regenerating the whole test case.</w:t>
      </w:r>
    </w:p>
    <w:p>
      <w:pPr>
        <w:spacing w:before="100" w:after="0"/>
      </w:pPr>
    </w:p>
    <w:p>
      <w:pPr>
        <w:pStyle w:val="Heading2"/>
        <w:spacing w:before="240" w:after="120"/>
        <w:jc w:val="left"/>
      </w:pPr>
      <w:r>
        <w:rPr>
          <w:rFonts w:ascii="Arial" w:hAnsi="Arial"/>
          <w:color w:val="2E75B6"/>
        </w:rPr>
        <w:t>The Continuous Improvement Feedback Loop</w:t>
      </w:r>
    </w:p>
    <w:p>
      <w:pPr>
        <w:spacing w:before="60" w:after="100"/>
      </w:pPr>
      <w:r>
        <w:rPr>
          <w:rFonts w:ascii="Arial" w:hAnsi="Arial"/>
          <w:b w:val="0"/>
          <w:i w:val="0"/>
          <w:color w:val="1A1A1A"/>
          <w:sz w:val="22"/>
        </w:rPr>
        <w:t>The tool gets better with every run through a human-in-the-loop feedback mechanism:</w:t>
      </w:r>
    </w:p>
    <w:p>
      <w:pPr>
        <w:spacing w:before="60" w:after="0"/>
      </w:pPr>
    </w:p>
    <w:tbl>
      <w:tblPr>
        <w:jc w:val="left"/>
        <w:tblLook w:firstColumn="1" w:firstRow="1" w:lastColumn="0" w:lastRow="0" w:noHBand="0" w:noVBand="1" w:val="04A0"/>
        <w:tblW w:w="9360" w:type="dxa"/>
      </w:tblPr>
      <w:tblGrid>
        <w:gridCol w:w="3360"/>
        <w:gridCol w:w="3360"/>
        <w:gridCol w:w="3360"/>
      </w:tblGrid>
      <w:tr>
        <w:tc>
          <w:tcPr>
            <w:tcW w:w="144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Stage</w:t>
            </w:r>
          </w:p>
        </w:tc>
        <w:tc>
          <w:tcPr>
            <w:tcW w:w="216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Who Acts</w:t>
            </w:r>
          </w:p>
        </w:tc>
        <w:tc>
          <w:tcPr>
            <w:tcW w:w="576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What Happens</w:t>
            </w:r>
          </w:p>
        </w:tc>
      </w:tr>
      <w:tr>
        <w:tc>
          <w:tcPr>
            <w:tcW w:w="14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1. Generate</w:t>
            </w:r>
          </w:p>
        </w:tc>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Tool</w:t>
            </w:r>
          </w:p>
        </w:tc>
        <w:tc>
          <w:tcPr>
            <w:tcW w:w="57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Produces test cases using current examples and requirements.</w:t>
            </w:r>
          </w:p>
        </w:tc>
      </w:tr>
      <w:tr>
        <w:tc>
          <w:tcPr>
            <w:tcW w:w="14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2. Review</w:t>
            </w:r>
          </w:p>
        </w:tc>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QA Engineer</w:t>
            </w:r>
          </w:p>
        </w:tc>
        <w:tc>
          <w:tcPr>
            <w:tcW w:w="57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Opens output/test_cases.csv and identifies the best test cases.</w:t>
            </w:r>
          </w:p>
        </w:tc>
      </w:tr>
      <w:tr>
        <w:tc>
          <w:tcPr>
            <w:tcW w:w="14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3. Approve</w:t>
            </w:r>
          </w:p>
        </w:tc>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QA Engineer</w:t>
            </w:r>
          </w:p>
        </w:tc>
        <w:tc>
          <w:tcPr>
            <w:tcW w:w="57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Runs: python mcp_server.py store-example --tc-id TC-0002 --ac-type eligibility</w:t>
            </w:r>
          </w:p>
        </w:tc>
      </w:tr>
      <w:tr>
        <w:tc>
          <w:tcPr>
            <w:tcW w:w="14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4. Learn</w:t>
            </w:r>
          </w:p>
        </w:tc>
        <w:tc>
          <w:tcPr>
            <w:tcW w:w="21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Tool</w:t>
            </w:r>
          </w:p>
        </w:tc>
        <w:tc>
          <w:tcPr>
            <w:tcW w:w="576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Stores the approved TC as a template in its local database.</w:t>
            </w:r>
          </w:p>
        </w:tc>
      </w:tr>
      <w:tr>
        <w:tc>
          <w:tcPr>
            <w:tcW w:w="14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5. Next Run</w:t>
            </w:r>
          </w:p>
        </w:tc>
        <w:tc>
          <w:tcPr>
            <w:tcW w:w="21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Tool</w:t>
            </w:r>
          </w:p>
        </w:tc>
        <w:tc>
          <w:tcPr>
            <w:tcW w:w="576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Retrieves the approved template and uses it as an example when generating similar test cases.</w:t>
            </w:r>
          </w:p>
        </w:tc>
      </w:tr>
    </w:tbl>
    <w:p/>
    <w:tbl>
      <w:tblPr>
        <w:jc w:val="left"/>
        <w:tblLook w:firstColumn="1" w:firstRow="1" w:lastColumn="0" w:lastRow="0" w:noHBand="0" w:noVBand="1" w:val="04A0"/>
        <w:tblW w:w="9360" w:type="dxa"/>
      </w:tblPr>
      <w:tblGrid>
        <w:gridCol w:w="10080"/>
      </w:tblGrid>
      <w:tr>
        <w:tc>
          <w:tcPr>
            <w:tcW w:w="9360" w:type="dxa"/>
            <w:shd w:val="clear" w:color="auto" w:fill="E2EFDA"/>
            <w:tcBorders>
              <w:top w:val="single" w:sz="6" w:space="0" w:color="375623"/>
              <w:left w:val="single" w:sz="6" w:space="0" w:color="375623"/>
              <w:bottom w:val="single" w:sz="6" w:space="0" w:color="375623"/>
              <w:right w:val="single" w:sz="6" w:space="0" w:color="375623"/>
            </w:tcBorders>
            <w:tcMar>
              <w:top w:w="120" w:type="dxa"/>
              <w:left w:w="200" w:type="dxa"/>
              <w:bottom w:w="120" w:type="dxa"/>
              <w:right w:w="200" w:type="dxa"/>
            </w:tcMar>
          </w:tcPr>
          <w:p>
            <w:pPr>
              <w:spacing w:after="80"/>
            </w:pPr>
            <w:r>
              <w:rPr>
                <w:rFonts w:ascii="Arial" w:hAnsi="Arial"/>
                <w:b/>
                <w:color w:val="375623"/>
                <w:sz w:val="22"/>
              </w:rPr>
              <w:t>Why This Matters</w:t>
            </w:r>
          </w:p>
          <w:p>
            <w:pPr>
              <w:spacing w:before="30" w:after="30"/>
              <w:ind w:left="288"/>
            </w:pPr>
            <w:r>
              <w:rPr>
                <w:rFonts w:ascii="Arial" w:hAnsi="Arial"/>
                <w:color w:val="1A1A1A"/>
                <w:sz w:val="20"/>
              </w:rPr>
              <w:t>After 3-5 runs with your team approving good examples, the tool learns your team's style:</w:t>
            </w:r>
          </w:p>
          <w:p>
            <w:pPr>
              <w:spacing w:before="30" w:after="30"/>
              <w:ind w:left="288"/>
            </w:pPr>
            <w:r>
              <w:rPr>
                <w:rFonts w:ascii="Arial" w:hAnsi="Arial"/>
                <w:color w:val="1A1A1A"/>
                <w:sz w:val="20"/>
              </w:rPr>
              <w:t xml:space="preserve">  - The level of detail expected in step descriptions</w:t>
            </w:r>
          </w:p>
          <w:p>
            <w:pPr>
              <w:spacing w:before="30" w:after="30"/>
              <w:ind w:left="288"/>
            </w:pPr>
            <w:r>
              <w:rPr>
                <w:rFonts w:ascii="Arial" w:hAnsi="Arial"/>
                <w:color w:val="1A1A1A"/>
                <w:sz w:val="20"/>
              </w:rPr>
              <w:t xml:space="preserve">  - How your product names its screens and UI elements</w:t>
            </w:r>
          </w:p>
          <w:p>
            <w:pPr>
              <w:spacing w:before="30" w:after="30"/>
              <w:ind w:left="288"/>
            </w:pPr>
            <w:r>
              <w:rPr>
                <w:rFonts w:ascii="Arial" w:hAnsi="Arial"/>
                <w:color w:val="1A1A1A"/>
                <w:sz w:val="20"/>
              </w:rPr>
              <w:t xml:space="preserve">  - What a 'good' expected outcome looks like for your domain</w:t>
            </w:r>
          </w:p>
          <w:p>
            <w:pPr>
              <w:spacing w:before="30" w:after="30"/>
              <w:ind w:left="288"/>
            </w:pPr>
            <w:r>
              <w:rPr>
                <w:rFonts w:ascii="Arial" w:hAnsi="Arial"/>
                <w:color w:val="1A1A1A"/>
                <w:sz w:val="20"/>
              </w:rPr>
              <w:t>Output quality improves continuously without any code changes or AI retraining.</w:t>
            </w:r>
          </w:p>
        </w:tc>
      </w:tr>
    </w:tbl>
    <w:p/>
    <w:p>
      <w:r>
        <w:br w:type="page"/>
      </w:r>
    </w:p>
    <w:p>
      <w:pPr>
        <w:pStyle w:val="Heading1"/>
        <w:spacing w:before="240" w:after="120"/>
        <w:jc w:val="left"/>
        <w:pBdr>
          <w:bottom w:val="single" w:sz="6" w:space="4" w:color="00B0A0"/>
        </w:pBdr>
      </w:pPr>
      <w:r>
        <w:rPr>
          <w:rFonts w:ascii="Arial" w:hAnsi="Arial"/>
          <w:color w:val="1F4E79"/>
        </w:rPr>
        <w:t>Business Benefits</w:t>
      </w:r>
    </w:p>
    <w:tbl>
      <w:tblPr>
        <w:jc w:val="left"/>
        <w:tblLook w:firstColumn="1" w:firstRow="1" w:lastColumn="0" w:lastRow="0" w:noHBand="0" w:noVBand="1" w:val="04A0"/>
        <w:tblW w:w="9360" w:type="dxa"/>
      </w:tblPr>
      <w:tblGrid>
        <w:gridCol w:w="5040"/>
        <w:gridCol w:w="5040"/>
      </w:tblGrid>
      <w:tr>
        <w:tc>
          <w:tcPr>
            <w:tcW w:w="288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Benefit</w:t>
            </w:r>
          </w:p>
        </w:tc>
        <w:tc>
          <w:tcPr>
            <w:tcW w:w="648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Detail</w:t>
            </w:r>
          </w:p>
        </w:tc>
      </w:tr>
      <w:tr>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10x faster test case creation</w:t>
            </w:r>
          </w:p>
        </w:tc>
        <w:tc>
          <w:tcPr>
            <w:tcW w:w="64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What takes a QA engineer 2+ hours per requirement takes the tool under 2 minutes. A 10-requirement module is covered in under 10 minutes.</w:t>
            </w:r>
          </w:p>
        </w:tc>
      </w:tr>
      <w:tr>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Consistent structure every time</w:t>
            </w:r>
          </w:p>
        </w:tc>
        <w:tc>
          <w:tcPr>
            <w:tcW w:w="64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Every test case follows the same format: preconditions, 5 steps, expected outcome, BDD scenario. No variability between engineers or sprints.</w:t>
            </w:r>
          </w:p>
        </w:tc>
      </w:tr>
      <w:tr>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Broader test coverage by default</w:t>
            </w:r>
          </w:p>
        </w:tc>
        <w:tc>
          <w:tcPr>
            <w:tcW w:w="64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tool always generates positive, negative, and edge-case scenarios. Manual processes often skip negative cases under time pressure.</w:t>
            </w:r>
          </w:p>
        </w:tc>
      </w:tr>
      <w:tr>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Specific, executable steps</w:t>
            </w:r>
          </w:p>
        </w:tc>
        <w:tc>
          <w:tcPr>
            <w:tcW w:w="64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AI names the exact button label, field name, or UI element — not generic phrases. Tests can be handed to any tester without clarification.</w:t>
            </w:r>
          </w:p>
        </w:tc>
      </w:tr>
      <w:tr>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Zero data privacy risk</w:t>
            </w:r>
          </w:p>
        </w:tc>
        <w:tc>
          <w:tcPr>
            <w:tcW w:w="64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Everything runs locally. No requirement text, AC content, or generated test cases leave your machine or network.</w:t>
            </w:r>
          </w:p>
        </w:tc>
      </w:tr>
      <w:tr>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Improves with use</w:t>
            </w:r>
          </w:p>
        </w:tc>
        <w:tc>
          <w:tcPr>
            <w:tcW w:w="64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Each approved test case becomes a quality template for future runs, continuously raising the bar without manual intervention.</w:t>
            </w:r>
          </w:p>
        </w:tc>
      </w:tr>
      <w:tr>
        <w:tc>
          <w:tcPr>
            <w:tcW w:w="28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Zephyr Scale ready</w:t>
            </w:r>
          </w:p>
        </w:tc>
        <w:tc>
          <w:tcPr>
            <w:tcW w:w="648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Output is formatted for direct import — no reformatting or copy-paste required.</w:t>
            </w:r>
          </w:p>
        </w:tc>
      </w:tr>
      <w:tr>
        <w:tc>
          <w:tcPr>
            <w:tcW w:w="28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Works with your existing process</w:t>
            </w:r>
          </w:p>
        </w:tc>
        <w:tc>
          <w:tcPr>
            <w:tcW w:w="648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Reads the same requirements documents you already produce. No new tooling for business analysts.</w:t>
            </w:r>
          </w:p>
        </w:tc>
      </w:tr>
    </w:tbl>
    <w:p/>
    <w:p>
      <w:r>
        <w:br w:type="page"/>
      </w:r>
    </w:p>
    <w:p>
      <w:pPr>
        <w:pStyle w:val="Heading1"/>
        <w:spacing w:before="240" w:after="120"/>
        <w:jc w:val="left"/>
        <w:pBdr>
          <w:bottom w:val="single" w:sz="6" w:space="4" w:color="00B0A0"/>
        </w:pBdr>
      </w:pPr>
      <w:r>
        <w:rPr>
          <w:rFonts w:ascii="Arial" w:hAnsi="Arial"/>
          <w:color w:val="1F4E79"/>
        </w:rPr>
        <w:t>Glossary</w:t>
      </w:r>
    </w:p>
    <w:tbl>
      <w:tblPr>
        <w:jc w:val="left"/>
        <w:tblLook w:firstColumn="1" w:firstRow="1" w:lastColumn="0" w:lastRow="0" w:noHBand="0" w:noVBand="1" w:val="04A0"/>
        <w:tblW w:w="9360" w:type="dxa"/>
      </w:tblPr>
      <w:tblGrid>
        <w:gridCol w:w="5040"/>
        <w:gridCol w:w="5040"/>
      </w:tblGrid>
      <w:tr>
        <w:tc>
          <w:tcPr>
            <w:tcW w:w="252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Term</w:t>
            </w:r>
          </w:p>
        </w:tc>
        <w:tc>
          <w:tcPr>
            <w:tcW w:w="6840" w:type="dxa"/>
            <w:shd w:val="clear" w:color="auto" w:fill="1F4E79"/>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r>
              <w:rPr>
                <w:rFonts w:ascii="Arial" w:hAnsi="Arial"/>
                <w:b/>
                <w:color w:val="FFFFFF"/>
                <w:sz w:val="20"/>
              </w:rPr>
              <w:t>Plain English Explanation</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Acceptance Criterion (AC)</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specific condition that a requirement must satisfy. For example: 'The OTP must be delivered within 60 seconds.'</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Test Case</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documented scenario that checks whether one acceptance criterion is met. Includes preconditions, steps, and an expected outcome.</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Positive Test Case</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Tests the happy path — verifies that the system works correctly when everything is as expected.</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Negative Test Case</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Tests failure handling — verifies that the system handles an invalid or unexpected situation correctly.</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Edge Case</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Tests boundary conditions — for example, a value exactly at the allowed limit (90 days old, not 89 or 91).</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BDD / Gherkin</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plain-language test format using Given / When / Then. Describes starting conditions, action, and expected result.</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Zephyr Scale</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A test management plugin for Jira used to organise, run, and report on test cases.</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ChromaDB</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local database used to store requirement context, approved test case templates, and screen/UI names.</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Few-Shot Learning</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technique of including approved example test cases in the AI prompt so the model learns your quality standard.</w:t>
            </w:r>
          </w:p>
        </w:tc>
      </w:tr>
      <w:tr>
        <w:tc>
          <w:tcPr>
            <w:tcW w:w="252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Ollama</w:t>
            </w:r>
          </w:p>
        </w:tc>
        <w:tc>
          <w:tcPr>
            <w:tcW w:w="6840" w:type="dxa"/>
            <w:shd w:val="clear" w:color="auto" w:fill="F2F7FB"/>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The local AI server that runs the language model. No internet connection is required after initial model download.</w:t>
            </w:r>
          </w:p>
        </w:tc>
      </w:tr>
      <w:tr>
        <w:tc>
          <w:tcPr>
            <w:tcW w:w="252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color w:val="1A1A1A"/>
                <w:sz w:val="20"/>
              </w:rPr>
              <w:t>MCP</w:t>
            </w:r>
          </w:p>
        </w:tc>
        <w:tc>
          <w:tcPr>
            <w:tcW w:w="6840" w:type="dxa"/>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rFonts w:ascii="Arial" w:hAnsi="Arial"/>
                <w:b w:val="0"/>
                <w:color w:val="1A1A1A"/>
                <w:sz w:val="20"/>
              </w:rPr>
              <w:t>Model Context Protocol — a standard that allows Claude Desktop to use the tool's functions from within a conversation.</w:t>
            </w:r>
          </w:p>
        </w:tc>
      </w:tr>
    </w:tbl>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