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06"/>
      </w:tblGrid>
      <w:tr>
        <w:tc>
          <w:tcPr>
            <w:tcW w:type="dxa" w:w="9406"/>
            <w:shd w:val="clear" w:color="auto" w:fill="1A3C5E"/>
          </w:tcPr>
          <w:p>
            <w:pPr>
              <w:spacing w:before="280" w:after="280"/>
              <w:jc w:val="center"/>
            </w:pPr>
            <w:r>
              <w:rPr>
                <w:rFonts w:ascii="Arial" w:hAnsi="Arial"/>
                <w:b/>
                <w:color w:val="FFFFFF"/>
                <w:sz w:val="28"/>
              </w:rPr>
              <w:t>QUESTIONNAIRE DE DUE DILIGENCE VENDEUR</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E8EFF6"/>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b/>
                <w:sz w:val="18"/>
              </w:rPr>
              <w:t>Deal</w:t>
            </w:r>
          </w:p>
        </w:tc>
        <w:tc>
          <w:tcPr>
            <w:tcW w:type="dxa" w:w="4703"/>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sz w:val="18"/>
              </w:rPr>
              <w:t>Talezzi.com — Plateforme ebooks enfants multilingue (10 langues)</w:t>
            </w:r>
          </w:p>
        </w:tc>
      </w:tr>
      <w:tr>
        <w:tc>
          <w:tcPr>
            <w:tcW w:type="dxa" w:w="4703"/>
            <w:shd w:val="clear" w:color="auto" w:fill="E8EFF6"/>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b/>
                <w:sz w:val="18"/>
              </w:rPr>
              <w:t>Source</w:t>
            </w:r>
          </w:p>
        </w:tc>
        <w:tc>
          <w:tcPr>
            <w:tcW w:type="dxa" w:w="4703"/>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sz w:val="18"/>
              </w:rPr>
              <w:t>Flippa — listing #12767079</w:t>
            </w:r>
          </w:p>
        </w:tc>
      </w:tr>
      <w:tr>
        <w:tc>
          <w:tcPr>
            <w:tcW w:type="dxa" w:w="4703"/>
            <w:shd w:val="clear" w:color="auto" w:fill="E8EFF6"/>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b/>
                <w:sz w:val="18"/>
              </w:rPr>
              <w:t>Date</w:t>
            </w:r>
          </w:p>
        </w:tc>
        <w:tc>
          <w:tcPr>
            <w:tcW w:type="dxa" w:w="4703"/>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sz w:val="18"/>
              </w:rPr>
              <w:t>16 mai 2026</w:t>
            </w:r>
          </w:p>
        </w:tc>
      </w:tr>
      <w:tr>
        <w:tc>
          <w:tcPr>
            <w:tcW w:type="dxa" w:w="4703"/>
            <w:shd w:val="clear" w:color="auto" w:fill="E8EFF6"/>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b/>
                <w:sz w:val="18"/>
              </w:rPr>
              <w:t>Statut</w:t>
            </w:r>
          </w:p>
        </w:tc>
        <w:tc>
          <w:tcPr>
            <w:tcW w:type="dxa" w:w="4703"/>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sz w:val="18"/>
              </w:rPr>
              <w:t>Quick Screen validé — À approfondir</w:t>
            </w:r>
          </w:p>
        </w:tc>
      </w:tr>
    </w:tbl>
    <w:p/>
    <w:p>
      <w:pPr>
        <w:spacing w:after="240"/>
      </w:pPr>
      <w:r>
        <w:rPr>
          <w:rFonts w:ascii="Arial" w:hAnsi="Arial"/>
          <w:i/>
          <w:color w:val="444444"/>
          <w:sz w:val="20"/>
        </w:rPr>
        <w:t>Ce document vous est partagé dans le cadre de notre processus de due diligence. Nous avons pris le temps de lire votre listing en détail et ces questions reflètent ce que nous devons comprendre pour avancer sérieusement. Il n'y a pas de bonne ou mauvaise réponse — nous cherchons avant tout à comprendre le projet tel qu'il est, pas tel qu'il pourrait être présenté.</w:t>
      </w:r>
    </w:p>
    <w:p>
      <w:pPr>
        <w:spacing w:before="360" w:after="80"/>
        <w:pBdr>
          <w:bottom w:val="single" w:sz="6" w:space="1" w:color="1A3C5E"/>
        </w:pBdr>
      </w:pPr>
      <w:r>
        <w:rPr>
          <w:rFonts w:ascii="Arial" w:hAnsi="Arial"/>
          <w:b/>
          <w:color w:val="1A3C5E"/>
          <w:sz w:val="24"/>
        </w:rPr>
        <w:t>A — Questions générales</w:t>
      </w:r>
    </w:p>
    <w:p>
      <w:pPr>
        <w:spacing w:before="200" w:after="40"/>
      </w:pPr>
      <w:r>
        <w:rPr>
          <w:rFonts w:ascii="Arial" w:hAnsi="Arial"/>
          <w:b/>
          <w:color w:val="1A3C5E"/>
          <w:sz w:val="20"/>
        </w:rPr>
        <w:t xml:space="preserve">Q1. </w:t>
      </w:r>
      <w:r>
        <w:rPr>
          <w:rFonts w:ascii="Arial" w:hAnsi="Arial"/>
          <w:b/>
          <w:color w:val="1A1A1A"/>
          <w:sz w:val="20"/>
        </w:rPr>
        <w:t>Pouvez-vous vous présenter brièvement ? Quel est votre parcours avec ce projet, depuis l'idée initiale jusqu'à aujourd'hui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Q2. </w:t>
      </w:r>
      <w:r>
        <w:rPr>
          <w:rFonts w:ascii="Arial" w:hAnsi="Arial"/>
          <w:b/>
          <w:color w:val="1A1A1A"/>
          <w:sz w:val="20"/>
        </w:rPr>
        <w:t>Quelle est la raison principale de la mise en vente aujourd'hui ?</w:t>
      </w:r>
    </w:p>
    <w:p>
      <w:pPr>
        <w:spacing w:before="40" w:after="40"/>
      </w:pPr>
      <w:r>
        <w:rPr>
          <w:rFonts w:ascii="Arial" w:hAnsi="Arial"/>
          <w:i/>
          <w:color w:val="666666"/>
          <w:sz w:val="18"/>
        </w:rPr>
        <w:t xml:space="preserve">  Nous posons cette question à tous les vendeurs — pas de jugement, juste de la transparence.</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Q3. </w:t>
      </w:r>
      <w:r>
        <w:rPr>
          <w:rFonts w:ascii="Arial" w:hAnsi="Arial"/>
          <w:b/>
          <w:color w:val="1A1A1A"/>
          <w:sz w:val="20"/>
        </w:rPr>
        <w:t>Tous les actifs listés dans l'annonce (code source, domaine, comptes, contenus, Universe Bible, illustrations) sont-ils bien inclus dans la vente ? Y a-t-il des exclusions dont nous devrions être informés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Q4. </w:t>
      </w:r>
      <w:r>
        <w:rPr>
          <w:rFonts w:ascii="Arial" w:hAnsi="Arial"/>
          <w:b/>
          <w:color w:val="1A1A1A"/>
          <w:sz w:val="20"/>
        </w:rPr>
        <w:t>Existe-t-il des dettes, obligations contractuelles, accords de partage de revenus, litiges en cours ou engagements tiers liés à ce projet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Q5. </w:t>
      </w:r>
      <w:r>
        <w:rPr>
          <w:rFonts w:ascii="Arial" w:hAnsi="Arial"/>
          <w:b/>
          <w:color w:val="1A1A1A"/>
          <w:sz w:val="20"/>
        </w:rPr>
        <w:t>Êtes-vous disponible pour accompagner la transition après la vente ? Sous quelle forme (appels, documentation, accès partagé) et sur quelle durée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tc>
      </w:tr>
    </w:tbl>
    <w:p/>
    <w:p>
      <w:pPr>
        <w:spacing w:before="360" w:after="80"/>
        <w:pBdr>
          <w:bottom w:val="single" w:sz="6" w:space="1" w:color="1A3C5E"/>
        </w:pBdr>
      </w:pPr>
      <w:r>
        <w:rPr>
          <w:rFonts w:ascii="Arial" w:hAnsi="Arial"/>
          <w:b/>
          <w:color w:val="1A3C5E"/>
          <w:sz w:val="24"/>
        </w:rPr>
        <w:t>B — Questions spécifiques à Talezzi.com</w:t>
      </w:r>
    </w:p>
    <w:p>
      <w:pPr>
        <w:spacing w:after="120"/>
      </w:pPr>
      <w:r>
        <w:rPr>
          <w:rFonts w:ascii="Arial" w:hAnsi="Arial"/>
          <w:i/>
          <w:color w:val="444444"/>
          <w:sz w:val="20"/>
        </w:rPr>
        <w:t>Ces questions portent sur les trois aspects qui conditionnent notre décision : la solidité de la fondation narrative, la nature de la production de contenu, et la propreté des droits de propriété intellectuelle.</w:t>
      </w:r>
    </w:p>
    <w:p>
      <w:pPr>
        <w:spacing w:before="280" w:after="40"/>
      </w:pPr>
      <w:r>
        <w:rPr>
          <w:rFonts w:ascii="Arial" w:hAnsi="Arial"/>
          <w:b/>
          <w:color w:val="2E6DA4"/>
          <w:sz w:val="20"/>
        </w:rPr>
        <w:t>B1 — Universe Bible et production de contenu</w:t>
      </w:r>
    </w:p>
    <w:p>
      <w:pPr>
        <w:spacing w:before="200" w:after="40"/>
      </w:pPr>
      <w:r>
        <w:rPr>
          <w:rFonts w:ascii="Arial" w:hAnsi="Arial"/>
          <w:b/>
          <w:color w:val="1A3C5E"/>
          <w:sz w:val="20"/>
        </w:rPr>
        <w:t xml:space="preserve">Q6. </w:t>
      </w:r>
      <w:r>
        <w:rPr>
          <w:rFonts w:ascii="Arial" w:hAnsi="Arial"/>
          <w:b/>
          <w:color w:val="1A1A1A"/>
          <w:sz w:val="20"/>
        </w:rPr>
        <w:t>Pouvez-vous décrire la structure de l'Universe Bible ? Qu'est-ce qu'elle contient concrètement — règles narratives, personnages, univers, contraintes de ton — et comment est-elle organisée ?</w:t>
      </w:r>
    </w:p>
    <w:p>
      <w:pPr>
        <w:spacing w:before="40" w:after="40"/>
      </w:pPr>
      <w:r>
        <w:rPr>
          <w:rFonts w:ascii="Arial" w:hAnsi="Arial"/>
          <w:i/>
          <w:color w:val="666666"/>
          <w:sz w:val="18"/>
        </w:rPr>
        <w:t xml:space="preserve">  Nous cherchons à comprendre si elle peut guider la création de nouvelles histoires de manière autonome, ou si elle suppose une connaissance implicite de votre part.</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Q7. </w:t>
      </w:r>
      <w:r>
        <w:rPr>
          <w:rFonts w:ascii="Arial" w:hAnsi="Arial"/>
          <w:b/>
          <w:color w:val="1A1A1A"/>
          <w:sz w:val="20"/>
        </w:rPr>
        <w:t>Quel est le workflow complet de production d'une nouvelle histoire : de l'idée initiale jusqu'à la publication sur la plateforme, en passant par la traduction et l'intégration ? Qui fait quoi, et combien de temps chaque étape prend-elle ?</w:t>
      </w:r>
    </w:p>
    <w:p>
      <w:pPr>
        <w:spacing w:before="40" w:after="40"/>
      </w:pPr>
      <w:r>
        <w:rPr>
          <w:rFonts w:ascii="Arial" w:hAnsi="Arial"/>
          <w:i/>
          <w:color w:val="666666"/>
          <w:sz w:val="18"/>
        </w:rPr>
        <w:t xml:space="preserve">  Détaillez autant que possible — nous voulons comprendre ce qui est manuel, ce qui est outillé, et ce qui pourrait être délégué.</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Q8. </w:t>
      </w:r>
      <w:r>
        <w:rPr>
          <w:rFonts w:ascii="Arial" w:hAnsi="Arial"/>
          <w:b/>
          <w:color w:val="1A1A1A"/>
          <w:sz w:val="20"/>
        </w:rPr>
        <w:t>Des outils d'intelligence artificielle ont-ils été utilisés dans la création des histoires, des traductions ou des illustrations ? Si oui, lesquels, à quelle étape, et sous quelles conditions d'utilisation ?</w:t>
      </w:r>
    </w:p>
    <w:p>
      <w:pPr>
        <w:spacing w:before="40" w:after="40"/>
      </w:pPr>
      <w:r>
        <w:rPr>
          <w:rFonts w:ascii="Arial" w:hAnsi="Arial"/>
          <w:i/>
          <w:color w:val="666666"/>
          <w:sz w:val="18"/>
        </w:rPr>
        <w:t xml:space="preserve">  Cette question est importante pour évaluer la reproductibilité du processus et la conformité des droits d'utilisation commerciale.</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80" w:after="40"/>
      </w:pPr>
      <w:r>
        <w:rPr>
          <w:rFonts w:ascii="Arial" w:hAnsi="Arial"/>
          <w:b/>
          <w:color w:val="2E6DA4"/>
          <w:sz w:val="20"/>
        </w:rPr>
        <w:t>B2 — Propriété intellectuelle et droits d'exploitation</w:t>
      </w:r>
    </w:p>
    <w:p>
      <w:pPr>
        <w:spacing w:before="200" w:after="40"/>
      </w:pPr>
      <w:r>
        <w:rPr>
          <w:rFonts w:ascii="Arial" w:hAnsi="Arial"/>
          <w:b/>
          <w:color w:val="1A3C5E"/>
          <w:sz w:val="20"/>
        </w:rPr>
        <w:t xml:space="preserve">Q9. </w:t>
      </w:r>
      <w:r>
        <w:rPr>
          <w:rFonts w:ascii="Arial" w:hAnsi="Arial"/>
          <w:b/>
          <w:color w:val="1A1A1A"/>
          <w:sz w:val="20"/>
        </w:rPr>
        <w:t>Qui a créé les histoires, les illustrations et les contenus inclus dans la vente ? Disposez-vous de documents attestant la cession de ces droits (contrats, factures avec mention de cession, conditions d'utilisation des outils IA) ?</w:t>
      </w:r>
    </w:p>
    <w:p>
      <w:pPr>
        <w:spacing w:before="40" w:after="40"/>
      </w:pPr>
      <w:r>
        <w:rPr>
          <w:rFonts w:ascii="Arial" w:hAnsi="Arial"/>
          <w:i/>
          <w:color w:val="666666"/>
          <w:sz w:val="18"/>
        </w:rPr>
        <w:t xml:space="preserve">  Nous avons besoin de cette clarté pour évaluer les possibilités d'exploitation sur différents canaux et formats.</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Q10. </w:t>
      </w:r>
      <w:r>
        <w:rPr>
          <w:rFonts w:ascii="Arial" w:hAnsi="Arial"/>
          <w:b/>
          <w:color w:val="1A1A1A"/>
          <w:sz w:val="20"/>
        </w:rPr>
        <w:t>Le nom 'Talezzi', le logo et l'identité visuelle ont-ils fait l'objet d'un dépôt de marque ou d'une vérification de disponibilité ? Êtes-vous en mesure de céder l'ensemble de ces éléments sans restriction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tc>
      </w:tr>
    </w:tbl>
    <w:p/>
    <w:p>
      <w:pPr>
        <w:spacing w:before="280" w:after="40"/>
      </w:pPr>
      <w:r>
        <w:rPr>
          <w:rFonts w:ascii="Arial" w:hAnsi="Arial"/>
          <w:b/>
          <w:color w:val="2E6DA4"/>
          <w:sz w:val="20"/>
        </w:rPr>
        <w:t>B3 — Accès technique et infrastructure</w:t>
      </w:r>
    </w:p>
    <w:p>
      <w:pPr>
        <w:spacing w:before="200" w:after="40"/>
      </w:pPr>
      <w:r>
        <w:rPr>
          <w:rFonts w:ascii="Arial" w:hAnsi="Arial"/>
          <w:b/>
          <w:color w:val="1A3C5E"/>
          <w:sz w:val="20"/>
        </w:rPr>
        <w:t xml:space="preserve">Q11. </w:t>
      </w:r>
      <w:r>
        <w:rPr>
          <w:rFonts w:ascii="Arial" w:hAnsi="Arial"/>
          <w:b/>
          <w:color w:val="1A1A1A"/>
          <w:sz w:val="20"/>
        </w:rPr>
        <w:t>Pouvez-vous nous donner un accès en lecture au dépôt GitHub dans le cadre de la due diligence ? Quelles sont vos conditions pour cela ?</w:t>
      </w:r>
    </w:p>
    <w:p>
      <w:pPr>
        <w:spacing w:before="40" w:after="40"/>
      </w:pPr>
      <w:r>
        <w:rPr>
          <w:rFonts w:ascii="Arial" w:hAnsi="Arial"/>
          <w:i/>
          <w:color w:val="666666"/>
          <w:sz w:val="18"/>
        </w:rPr>
        <w:t xml:space="preserve">  Accès en lecture seule, à révoquer après la phase de due diligence si la vente n'aboutit pas.</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Q12. </w:t>
      </w:r>
      <w:r>
        <w:rPr>
          <w:rFonts w:ascii="Arial" w:hAnsi="Arial"/>
          <w:b/>
          <w:color w:val="1A1A1A"/>
          <w:sz w:val="20"/>
        </w:rPr>
        <w:t>Stripe est intégré mais non activé. Y a-t-il une raison particulière à cela (technique, légale, calendrier) ? L'activation nécessite-t-elle des développements supplémentaires ou est-elle prête à l'emploi avec de nouvelles clés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tc>
      </w:tr>
    </w:tbl>
    <w:p/>
    <w:p>
      <w:pPr>
        <w:spacing w:before="200" w:after="40"/>
      </w:pPr>
      <w:r>
        <w:rPr>
          <w:rFonts w:ascii="Arial" w:hAnsi="Arial"/>
          <w:b/>
          <w:color w:val="1A3C5E"/>
          <w:sz w:val="20"/>
        </w:rPr>
        <w:t xml:space="preserve">Q13. </w:t>
      </w:r>
      <w:r>
        <w:rPr>
          <w:rFonts w:ascii="Arial" w:hAnsi="Arial"/>
          <w:b/>
          <w:color w:val="1A1A1A"/>
          <w:sz w:val="20"/>
        </w:rPr>
        <w:t>Quels services tiers sont actuellement actifs (au-delà de l'hébergement Hetzner et Google Workspace) ? Y a-t-il des APIs, licences logicielles ou abonnements liés au domaine ou au projet que nous devrions reprendre ?</w:t>
      </w:r>
    </w:p>
    <w:tbl>
      <w:tblPr>
        <w:tblStyle w:val="TableGrid"/>
        <w:tblW w:type="auto" w:w="0"/>
        <w:tblLook w:firstColumn="1" w:firstRow="1" w:lastColumn="0" w:lastRow="0" w:noHBand="0" w:noVBand="1" w:val="04A0"/>
      </w:tblPr>
      <w:tblGrid>
        <w:gridCol w:w="9406"/>
      </w:tblGrid>
      <w:tr>
        <w:tc>
          <w:tcPr>
            <w:tcW w:type="dxa" w:w="9072"/>
            <w:shd w:val="clear" w:color="auto" w:fill="F5F8FB"/>
            <w:tcBorders>
              <w:top w:val="single" w:sz="4" w:space="0" w:color="C5D5E8"/>
              <w:left w:val="single" w:sz="4" w:space="0" w:color="C5D5E8"/>
              <w:bottom w:val="single" w:sz="4" w:space="0" w:color="C5D5E8"/>
              <w:right w:val="single" w:sz="4" w:space="0" w:color="C5D5E8"/>
            </w:tcBorders>
          </w:tcPr>
          <w:p>
            <w:pPr>
              <w:spacing w:before="80" w:after="80"/>
            </w:pPr>
            <w:r>
              <w:rPr>
                <w:rFonts w:ascii="Arial" w:hAnsi="Arial"/>
                <w:i/>
                <w:color w:val="BBBBBB"/>
                <w:sz w:val="20"/>
              </w:rPr>
              <w:t>Votre réponse...</w:t>
            </w:r>
          </w:p>
          <w:p>
            <w:pPr>
              <w:spacing w:before="0" w:after="0"/>
            </w:pPr>
          </w:p>
          <w:p>
            <w:pPr>
              <w:spacing w:before="0" w:after="0"/>
            </w:pPr>
          </w:p>
          <w:p>
            <w:pPr>
              <w:spacing w:before="0" w:after="0"/>
            </w:pPr>
          </w:p>
          <w:p>
            <w:pPr>
              <w:spacing w:before="0" w:after="0"/>
            </w:pPr>
          </w:p>
        </w:tc>
      </w:tr>
    </w:tbl>
    <w:p/>
    <w:p/>
    <w:p>
      <w:pPr>
        <w:spacing w:before="0" w:after="0"/>
        <w:pBdr>
          <w:bottom w:val="single" w:sz="6" w:space="1" w:color="C5D5E8"/>
        </w:pBdr>
      </w:pPr>
    </w:p>
    <w:p>
      <w:pPr>
        <w:spacing w:before="160"/>
        <w:jc w:val="center"/>
      </w:pPr>
      <w:r>
        <w:rPr>
          <w:rFonts w:ascii="Arial" w:hAnsi="Arial"/>
          <w:i/>
          <w:color w:val="888888"/>
          <w:sz w:val="16"/>
        </w:rPr>
        <w:t>Document confidentiel — Acquisition Desk · InspirActions · 2026</w:t>
        <w:br/>
        <w:t>À compléter directement dans ce document et à retourner via Google Drive.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