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EAF71" w14:textId="77777777" w:rsidR="002C5585" w:rsidRPr="002C5585" w:rsidRDefault="002C5585" w:rsidP="002C5585">
      <w:pPr>
        <w:shd w:val="clear" w:color="auto" w:fill="F7F7F7"/>
        <w:spacing w:after="0" w:line="1125" w:lineRule="atLeast"/>
        <w:outlineLvl w:val="0"/>
        <w:rPr>
          <w:rFonts w:ascii="Arial" w:eastAsia="Times New Roman" w:hAnsi="Arial" w:cs="Arial"/>
          <w:b/>
          <w:bCs/>
          <w:color w:val="383838"/>
          <w:spacing w:val="-10"/>
          <w:kern w:val="36"/>
          <w:sz w:val="120"/>
          <w:szCs w:val="120"/>
          <w:lang w:eastAsia="fr-FR"/>
          <w14:ligatures w14:val="none"/>
        </w:rPr>
      </w:pPr>
      <w:r w:rsidRPr="002C5585">
        <w:rPr>
          <w:rFonts w:ascii="Arial" w:eastAsia="Times New Roman" w:hAnsi="Arial" w:cs="Arial"/>
          <w:b/>
          <w:bCs/>
          <w:color w:val="383838"/>
          <w:spacing w:val="-10"/>
          <w:kern w:val="36"/>
          <w:sz w:val="120"/>
          <w:szCs w:val="120"/>
          <w:lang w:eastAsia="fr-FR"/>
          <w14:ligatures w14:val="none"/>
        </w:rPr>
        <w:t>Les CEE pour votre Relamping</w:t>
      </w:r>
    </w:p>
    <w:p w14:paraId="6FED42B6" w14:textId="77777777" w:rsidR="002C5585" w:rsidRPr="002C5585" w:rsidRDefault="002C5585" w:rsidP="002C5585">
      <w:pPr>
        <w:shd w:val="clear" w:color="auto" w:fill="F7F7F7"/>
        <w:spacing w:before="100" w:beforeAutospacing="1" w:after="100" w:afterAutospacing="1"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Face à la transition énergétique, le </w:t>
      </w:r>
      <w:r w:rsidRPr="002C5585">
        <w:rPr>
          <w:rFonts w:ascii="Arial" w:eastAsia="Times New Roman" w:hAnsi="Arial" w:cs="Arial"/>
          <w:b/>
          <w:bCs/>
          <w:color w:val="383838"/>
          <w:kern w:val="0"/>
          <w:sz w:val="27"/>
          <w:szCs w:val="27"/>
          <w:lang w:eastAsia="fr-FR"/>
          <w14:ligatures w14:val="none"/>
        </w:rPr>
        <w:t>relamping</w:t>
      </w:r>
      <w:r w:rsidRPr="002C5585">
        <w:rPr>
          <w:rFonts w:ascii="Arial" w:eastAsia="Times New Roman" w:hAnsi="Arial" w:cs="Arial"/>
          <w:color w:val="383838"/>
          <w:kern w:val="0"/>
          <w:sz w:val="27"/>
          <w:szCs w:val="27"/>
          <w:lang w:eastAsia="fr-FR"/>
          <w14:ligatures w14:val="none"/>
        </w:rPr>
        <w:t> ou remplacement d’éclairage par des technologies plus économes en énergie est devenu une solution incontournable pour les entreprises. En remplaçant les sources lumineuses traditionnelles par des systèmes LED ou basse consommation, le relamping permet de réduire significativement les consommations énergétiques. Avec le soutien des </w:t>
      </w:r>
      <w:r w:rsidRPr="002C5585">
        <w:rPr>
          <w:rFonts w:ascii="Arial" w:eastAsia="Times New Roman" w:hAnsi="Arial" w:cs="Arial"/>
          <w:b/>
          <w:bCs/>
          <w:color w:val="383838"/>
          <w:kern w:val="0"/>
          <w:sz w:val="27"/>
          <w:szCs w:val="27"/>
          <w:lang w:eastAsia="fr-FR"/>
          <w14:ligatures w14:val="none"/>
        </w:rPr>
        <w:t>Certificats d’Économies d’Énergie (CEE)</w:t>
      </w:r>
      <w:r w:rsidRPr="002C5585">
        <w:rPr>
          <w:rFonts w:ascii="Arial" w:eastAsia="Times New Roman" w:hAnsi="Arial" w:cs="Arial"/>
          <w:color w:val="383838"/>
          <w:kern w:val="0"/>
          <w:sz w:val="27"/>
          <w:szCs w:val="27"/>
          <w:lang w:eastAsia="fr-FR"/>
          <w14:ligatures w14:val="none"/>
        </w:rPr>
        <w:t>, les entreprises peuvent bénéficier d’aides pour financer une partie ou la totalité de leur projet de relamping.</w:t>
      </w:r>
    </w:p>
    <w:p w14:paraId="3CD32766" w14:textId="77777777" w:rsidR="002C5585" w:rsidRPr="002C5585" w:rsidRDefault="002C5585" w:rsidP="002C5585">
      <w:pPr>
        <w:shd w:val="clear" w:color="auto" w:fill="F7F7F7"/>
        <w:spacing w:after="0" w:line="900" w:lineRule="atLeast"/>
        <w:outlineLvl w:val="1"/>
        <w:rPr>
          <w:rFonts w:ascii="Arial" w:eastAsia="Times New Roman" w:hAnsi="Arial" w:cs="Arial"/>
          <w:b/>
          <w:bCs/>
          <w:color w:val="383838"/>
          <w:spacing w:val="-10"/>
          <w:kern w:val="0"/>
          <w:sz w:val="96"/>
          <w:szCs w:val="96"/>
          <w:lang w:eastAsia="fr-FR"/>
          <w14:ligatures w14:val="none"/>
        </w:rPr>
      </w:pPr>
      <w:r w:rsidRPr="002C5585">
        <w:rPr>
          <w:rFonts w:ascii="Arial" w:eastAsia="Times New Roman" w:hAnsi="Arial" w:cs="Arial"/>
          <w:b/>
          <w:bCs/>
          <w:color w:val="383838"/>
          <w:spacing w:val="-10"/>
          <w:kern w:val="0"/>
          <w:sz w:val="96"/>
          <w:szCs w:val="96"/>
          <w:lang w:eastAsia="fr-FR"/>
          <w14:ligatures w14:val="none"/>
        </w:rPr>
        <w:t>Qu’est-ce que le relamping ?</w:t>
      </w:r>
    </w:p>
    <w:p w14:paraId="0B9B5564" w14:textId="77777777" w:rsidR="002C5585" w:rsidRPr="002C5585" w:rsidRDefault="002C5585" w:rsidP="002C5585">
      <w:pPr>
        <w:shd w:val="clear" w:color="auto" w:fill="F7F7F7"/>
        <w:spacing w:before="100" w:beforeAutospacing="1" w:after="100" w:afterAutospacing="1"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Le </w:t>
      </w:r>
      <w:r w:rsidRPr="002C5585">
        <w:rPr>
          <w:rFonts w:ascii="Arial" w:eastAsia="Times New Roman" w:hAnsi="Arial" w:cs="Arial"/>
          <w:b/>
          <w:bCs/>
          <w:color w:val="383838"/>
          <w:kern w:val="0"/>
          <w:sz w:val="27"/>
          <w:szCs w:val="27"/>
          <w:lang w:eastAsia="fr-FR"/>
          <w14:ligatures w14:val="none"/>
        </w:rPr>
        <w:t>relamping</w:t>
      </w:r>
      <w:r w:rsidRPr="002C5585">
        <w:rPr>
          <w:rFonts w:ascii="Arial" w:eastAsia="Times New Roman" w:hAnsi="Arial" w:cs="Arial"/>
          <w:color w:val="383838"/>
          <w:kern w:val="0"/>
          <w:sz w:val="27"/>
          <w:szCs w:val="27"/>
          <w:lang w:eastAsia="fr-FR"/>
          <w14:ligatures w14:val="none"/>
        </w:rPr>
        <w:t> consiste à remplacer les installations d’éclairage anciennes et énergivores par des solutions modernes, comme les LED, qui consomment beaucoup moins d’énergie tout en garantissant une qualité d’éclairage optimale. Cette démarche est particulièrement bénéfique pour les entreprises, qui possèdent souvent de grandes surfaces à éclairer et dont les besoins d’éclairage représentent une part significative de leur consommation énergétique.</w:t>
      </w:r>
    </w:p>
    <w:p w14:paraId="61278EEE" w14:textId="77777777" w:rsidR="002C5585" w:rsidRPr="002C5585" w:rsidRDefault="002C5585" w:rsidP="002C5585">
      <w:pPr>
        <w:shd w:val="clear" w:color="auto" w:fill="F7F7F7"/>
        <w:spacing w:before="100" w:beforeAutospacing="1" w:after="100" w:afterAutospacing="1"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 xml:space="preserve">L’éclairage peut représenter jusqu’à 40 % de la consommation d’électricité dans les bâtiments tertiaires. Le relamping permet de réduire cette consommation de manière significative, tout en améliorant l’éclairage des </w:t>
      </w:r>
      <w:r w:rsidRPr="002C5585">
        <w:rPr>
          <w:rFonts w:ascii="Arial" w:eastAsia="Times New Roman" w:hAnsi="Arial" w:cs="Arial"/>
          <w:color w:val="383838"/>
          <w:kern w:val="0"/>
          <w:sz w:val="27"/>
          <w:szCs w:val="27"/>
          <w:lang w:eastAsia="fr-FR"/>
          <w14:ligatures w14:val="none"/>
        </w:rPr>
        <w:lastRenderedPageBreak/>
        <w:t>espaces de travail. Les entreprises qui adoptent des solutions LED ou basse consommation peuvent ainsi réaliser des économies importantes.</w:t>
      </w:r>
    </w:p>
    <w:p w14:paraId="227FAC52" w14:textId="77777777" w:rsidR="002C5585" w:rsidRPr="002C5585" w:rsidRDefault="002C5585" w:rsidP="002C5585">
      <w:pPr>
        <w:shd w:val="clear" w:color="auto" w:fill="FFFFFF"/>
        <w:spacing w:after="0" w:line="900" w:lineRule="atLeast"/>
        <w:outlineLvl w:val="1"/>
        <w:rPr>
          <w:rFonts w:ascii="Arial" w:eastAsia="Times New Roman" w:hAnsi="Arial" w:cs="Arial"/>
          <w:b/>
          <w:bCs/>
          <w:color w:val="383838"/>
          <w:spacing w:val="-10"/>
          <w:kern w:val="0"/>
          <w:sz w:val="96"/>
          <w:szCs w:val="96"/>
          <w:lang w:eastAsia="fr-FR"/>
          <w14:ligatures w14:val="none"/>
        </w:rPr>
      </w:pPr>
      <w:r w:rsidRPr="002C5585">
        <w:rPr>
          <w:rFonts w:ascii="Arial" w:eastAsia="Times New Roman" w:hAnsi="Arial" w:cs="Arial"/>
          <w:b/>
          <w:bCs/>
          <w:color w:val="383838"/>
          <w:spacing w:val="-10"/>
          <w:kern w:val="0"/>
          <w:sz w:val="96"/>
          <w:szCs w:val="96"/>
          <w:lang w:eastAsia="fr-FR"/>
          <w14:ligatures w14:val="none"/>
        </w:rPr>
        <w:t>Comprendre le rôle des Certificats d’Économies d’Énergie (CEE)</w:t>
      </w:r>
    </w:p>
    <w:p w14:paraId="1702785E" w14:textId="77777777" w:rsidR="002C5585" w:rsidRPr="002C5585" w:rsidRDefault="002C5585" w:rsidP="002C5585">
      <w:pPr>
        <w:shd w:val="clear" w:color="auto" w:fill="FFFFFF"/>
        <w:spacing w:before="100" w:beforeAutospacing="1" w:after="100" w:afterAutospacing="1"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Les </w:t>
      </w:r>
      <w:r w:rsidRPr="002C5585">
        <w:rPr>
          <w:rFonts w:ascii="Arial" w:eastAsia="Times New Roman" w:hAnsi="Arial" w:cs="Arial"/>
          <w:b/>
          <w:bCs/>
          <w:color w:val="383838"/>
          <w:kern w:val="0"/>
          <w:sz w:val="27"/>
          <w:szCs w:val="27"/>
          <w:lang w:eastAsia="fr-FR"/>
          <w14:ligatures w14:val="none"/>
        </w:rPr>
        <w:t>Certificats d’Économies d’Énergie (CEE)</w:t>
      </w:r>
      <w:r w:rsidRPr="002C5585">
        <w:rPr>
          <w:rFonts w:ascii="Arial" w:eastAsia="Times New Roman" w:hAnsi="Arial" w:cs="Arial"/>
          <w:color w:val="383838"/>
          <w:kern w:val="0"/>
          <w:sz w:val="27"/>
          <w:szCs w:val="27"/>
          <w:lang w:eastAsia="fr-FR"/>
          <w14:ligatures w14:val="none"/>
        </w:rPr>
        <w:t xml:space="preserve"> sont un dispositif gouvernemental destiné à encourager les entreprises à réduire leurs consommations énergétiques. Les CEE sont </w:t>
      </w:r>
      <w:proofErr w:type="gramStart"/>
      <w:r w:rsidRPr="002C5585">
        <w:rPr>
          <w:rFonts w:ascii="Arial" w:eastAsia="Times New Roman" w:hAnsi="Arial" w:cs="Arial"/>
          <w:color w:val="383838"/>
          <w:kern w:val="0"/>
          <w:sz w:val="27"/>
          <w:szCs w:val="27"/>
          <w:lang w:eastAsia="fr-FR"/>
          <w14:ligatures w14:val="none"/>
        </w:rPr>
        <w:t>obtenus</w:t>
      </w:r>
      <w:proofErr w:type="gramEnd"/>
      <w:r w:rsidRPr="002C5585">
        <w:rPr>
          <w:rFonts w:ascii="Arial" w:eastAsia="Times New Roman" w:hAnsi="Arial" w:cs="Arial"/>
          <w:color w:val="383838"/>
          <w:kern w:val="0"/>
          <w:sz w:val="27"/>
          <w:szCs w:val="27"/>
          <w:lang w:eastAsia="fr-FR"/>
          <w14:ligatures w14:val="none"/>
        </w:rPr>
        <w:t xml:space="preserve"> en réalisant des actions spécifiques, reconnues par l’État pour leurs impacts positifs sur l’environnement, comme le relamping. Grâce aux CEE, les entreprises peuvent financer une partie de leur projet de relamping et rendre cet investissement plus accessible.</w:t>
      </w:r>
    </w:p>
    <w:p w14:paraId="54D078ED" w14:textId="77777777" w:rsidR="002C5585" w:rsidRPr="002C5585" w:rsidRDefault="002C5585" w:rsidP="002C5585">
      <w:pPr>
        <w:shd w:val="clear" w:color="auto" w:fill="FFFFFF"/>
        <w:spacing w:before="100" w:beforeAutospacing="1" w:after="100" w:afterAutospacing="1"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Les projets de relamping sont éligibles aux CEE car ils permettent de réduire de manière significative la consommation d’électricité liée à l’éclairage, favorisant ainsi l’efficacité énergétique.</w:t>
      </w:r>
    </w:p>
    <w:p w14:paraId="00D5F5C0" w14:textId="77777777" w:rsidR="002C5585" w:rsidRPr="002C5585" w:rsidRDefault="002C5585" w:rsidP="002C5585">
      <w:pPr>
        <w:shd w:val="clear" w:color="auto" w:fill="F7F7F7"/>
        <w:spacing w:after="0" w:line="900" w:lineRule="atLeast"/>
        <w:outlineLvl w:val="1"/>
        <w:rPr>
          <w:rFonts w:ascii="Arial" w:eastAsia="Times New Roman" w:hAnsi="Arial" w:cs="Arial"/>
          <w:b/>
          <w:bCs/>
          <w:color w:val="383838"/>
          <w:spacing w:val="-10"/>
          <w:kern w:val="0"/>
          <w:sz w:val="96"/>
          <w:szCs w:val="96"/>
          <w:lang w:eastAsia="fr-FR"/>
          <w14:ligatures w14:val="none"/>
        </w:rPr>
      </w:pPr>
      <w:r w:rsidRPr="002C5585">
        <w:rPr>
          <w:rFonts w:ascii="Arial" w:eastAsia="Times New Roman" w:hAnsi="Arial" w:cs="Arial"/>
          <w:b/>
          <w:bCs/>
          <w:color w:val="383838"/>
          <w:spacing w:val="-10"/>
          <w:kern w:val="0"/>
          <w:sz w:val="96"/>
          <w:szCs w:val="96"/>
          <w:lang w:eastAsia="fr-FR"/>
          <w14:ligatures w14:val="none"/>
        </w:rPr>
        <w:t xml:space="preserve">Comment bénéficier des CEE </w:t>
      </w:r>
      <w:r w:rsidRPr="002C5585">
        <w:rPr>
          <w:rFonts w:ascii="Arial" w:eastAsia="Times New Roman" w:hAnsi="Arial" w:cs="Arial"/>
          <w:b/>
          <w:bCs/>
          <w:color w:val="383838"/>
          <w:spacing w:val="-10"/>
          <w:kern w:val="0"/>
          <w:sz w:val="96"/>
          <w:szCs w:val="96"/>
          <w:lang w:eastAsia="fr-FR"/>
          <w14:ligatures w14:val="none"/>
        </w:rPr>
        <w:lastRenderedPageBreak/>
        <w:t>dans le cadre du relamping</w:t>
      </w:r>
    </w:p>
    <w:p w14:paraId="2B4173EF" w14:textId="77777777" w:rsidR="002C5585" w:rsidRPr="002C5585" w:rsidRDefault="002C5585" w:rsidP="002C5585">
      <w:pPr>
        <w:shd w:val="clear" w:color="auto" w:fill="F7F7F7"/>
        <w:spacing w:before="100" w:beforeAutospacing="1" w:after="100" w:afterAutospacing="1"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Obtenir des </w:t>
      </w:r>
      <w:r w:rsidRPr="002C5585">
        <w:rPr>
          <w:rFonts w:ascii="Arial" w:eastAsia="Times New Roman" w:hAnsi="Arial" w:cs="Arial"/>
          <w:b/>
          <w:bCs/>
          <w:color w:val="383838"/>
          <w:kern w:val="0"/>
          <w:sz w:val="27"/>
          <w:szCs w:val="27"/>
          <w:lang w:eastAsia="fr-FR"/>
          <w14:ligatures w14:val="none"/>
        </w:rPr>
        <w:t>CEE</w:t>
      </w:r>
      <w:r w:rsidRPr="002C5585">
        <w:rPr>
          <w:rFonts w:ascii="Arial" w:eastAsia="Times New Roman" w:hAnsi="Arial" w:cs="Arial"/>
          <w:color w:val="383838"/>
          <w:kern w:val="0"/>
          <w:sz w:val="27"/>
          <w:szCs w:val="27"/>
          <w:lang w:eastAsia="fr-FR"/>
          <w14:ligatures w14:val="none"/>
        </w:rPr>
        <w:t> pour un projet de relamping demande de respecter certaines étapes, garantissant ainsi la conformité du projet et l’obtention des certificats d’économies d’énergie. Voici les principales étapes :</w:t>
      </w:r>
    </w:p>
    <w:p w14:paraId="5D3B694E" w14:textId="4B1AAE7F" w:rsidR="002C5585" w:rsidRPr="002C5585" w:rsidRDefault="002C5585" w:rsidP="002C5585">
      <w:pPr>
        <w:shd w:val="clear" w:color="auto" w:fill="F7F7F7"/>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Pr>
          <w:rFonts w:ascii="Arial" w:eastAsia="Times New Roman" w:hAnsi="Arial" w:cs="Arial"/>
          <w:b/>
          <w:bCs/>
          <w:color w:val="383838"/>
          <w:spacing w:val="-10"/>
          <w:kern w:val="0"/>
          <w:sz w:val="84"/>
          <w:szCs w:val="84"/>
          <w:lang w:eastAsia="fr-FR"/>
          <w14:ligatures w14:val="none"/>
        </w:rPr>
        <w:t>1-</w:t>
      </w:r>
      <w:r w:rsidRPr="002C5585">
        <w:rPr>
          <w:rFonts w:ascii="Arial" w:eastAsia="Times New Roman" w:hAnsi="Arial" w:cs="Arial"/>
          <w:b/>
          <w:bCs/>
          <w:color w:val="383838"/>
          <w:spacing w:val="-10"/>
          <w:kern w:val="0"/>
          <w:sz w:val="84"/>
          <w:szCs w:val="84"/>
          <w:lang w:eastAsia="fr-FR"/>
          <w14:ligatures w14:val="none"/>
        </w:rPr>
        <w:t>Audit de l’éclairage existant</w:t>
      </w:r>
    </w:p>
    <w:p w14:paraId="4B43B000" w14:textId="77777777" w:rsidR="002C5585" w:rsidRDefault="002C5585" w:rsidP="002C5585">
      <w:pPr>
        <w:shd w:val="clear" w:color="auto" w:fill="F7F7F7"/>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Avant de lancer un projet de relamping, il est essentiel de réaliser un audit de l’éclairage en place pour évaluer la consommation actuelle et identifier les zones à optimiser. Cet audit permet de déterminer les besoins spécifiques en éclairage et les solutions les plus adaptées pour maximiser les économies d’énergie.</w:t>
      </w:r>
    </w:p>
    <w:p w14:paraId="2231974A" w14:textId="62C64852" w:rsidR="002C5585" w:rsidRPr="002C5585" w:rsidRDefault="002C5585" w:rsidP="002C5585">
      <w:pPr>
        <w:shd w:val="clear" w:color="auto" w:fill="F7F7F7"/>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Pr>
          <w:rFonts w:ascii="Arial" w:eastAsia="Times New Roman" w:hAnsi="Arial" w:cs="Arial"/>
          <w:b/>
          <w:bCs/>
          <w:color w:val="383838"/>
          <w:spacing w:val="-10"/>
          <w:kern w:val="0"/>
          <w:sz w:val="84"/>
          <w:szCs w:val="84"/>
          <w:lang w:eastAsia="fr-FR"/>
          <w14:ligatures w14:val="none"/>
        </w:rPr>
        <w:t>2-</w:t>
      </w:r>
      <w:r w:rsidRPr="002C5585">
        <w:rPr>
          <w:rFonts w:ascii="Arial" w:eastAsia="Times New Roman" w:hAnsi="Arial" w:cs="Arial"/>
          <w:b/>
          <w:bCs/>
          <w:color w:val="383838"/>
          <w:spacing w:val="-10"/>
          <w:kern w:val="0"/>
          <w:sz w:val="84"/>
          <w:szCs w:val="84"/>
          <w:lang w:eastAsia="fr-FR"/>
          <w14:ligatures w14:val="none"/>
        </w:rPr>
        <w:t>Choix des technologies d’éclairage efficaces</w:t>
      </w:r>
    </w:p>
    <w:p w14:paraId="6385C5F3" w14:textId="77777777" w:rsidR="002C5585" w:rsidRPr="002C5585" w:rsidRDefault="002C5585" w:rsidP="002C5585">
      <w:pPr>
        <w:shd w:val="clear" w:color="auto" w:fill="F7F7F7"/>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Pour garantir des économies d’énergie maximales, le choix de la technologie d’éclairage est crucial. Les ampoules et tubes LED sont les solutions les plus performantes pour le relamping, offrant une luminosité de haute qualité tout en consommant moins d’énergie.</w:t>
      </w:r>
    </w:p>
    <w:p w14:paraId="2C08F557" w14:textId="77777777" w:rsidR="002C5585" w:rsidRPr="002C5585" w:rsidRDefault="002C5585" w:rsidP="002C5585">
      <w:pPr>
        <w:shd w:val="clear" w:color="auto" w:fill="F7F7F7"/>
        <w:spacing w:after="0" w:line="360" w:lineRule="atLeast"/>
        <w:rPr>
          <w:rFonts w:ascii="Arial" w:eastAsia="Times New Roman" w:hAnsi="Arial" w:cs="Arial"/>
          <w:color w:val="383838"/>
          <w:kern w:val="0"/>
          <w:sz w:val="27"/>
          <w:szCs w:val="27"/>
          <w:lang w:eastAsia="fr-FR"/>
          <w14:ligatures w14:val="none"/>
        </w:rPr>
      </w:pPr>
    </w:p>
    <w:p w14:paraId="6131BAA8" w14:textId="0AD481FD" w:rsidR="002C5585" w:rsidRPr="002C5585" w:rsidRDefault="002C5585" w:rsidP="002C5585">
      <w:pPr>
        <w:shd w:val="clear" w:color="auto" w:fill="F7F7F7"/>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Pr>
          <w:rFonts w:ascii="Arial" w:eastAsia="Times New Roman" w:hAnsi="Arial" w:cs="Arial"/>
          <w:b/>
          <w:bCs/>
          <w:color w:val="383838"/>
          <w:spacing w:val="-10"/>
          <w:kern w:val="0"/>
          <w:sz w:val="84"/>
          <w:szCs w:val="84"/>
          <w:lang w:eastAsia="fr-FR"/>
          <w14:ligatures w14:val="none"/>
        </w:rPr>
        <w:lastRenderedPageBreak/>
        <w:t>3-</w:t>
      </w:r>
      <w:r w:rsidRPr="002C5585">
        <w:rPr>
          <w:rFonts w:ascii="Arial" w:eastAsia="Times New Roman" w:hAnsi="Arial" w:cs="Arial"/>
          <w:b/>
          <w:bCs/>
          <w:color w:val="383838"/>
          <w:spacing w:val="-10"/>
          <w:kern w:val="0"/>
          <w:sz w:val="84"/>
          <w:szCs w:val="84"/>
          <w:lang w:eastAsia="fr-FR"/>
          <w14:ligatures w14:val="none"/>
        </w:rPr>
        <w:t>Installation et paramétrage des nouveaux équipements</w:t>
      </w:r>
    </w:p>
    <w:p w14:paraId="4BD2B6C4" w14:textId="77777777" w:rsidR="002C5585" w:rsidRPr="002C5585" w:rsidRDefault="002C5585" w:rsidP="002C5585">
      <w:pPr>
        <w:shd w:val="clear" w:color="auto" w:fill="F7F7F7"/>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L’installation des nouvelles solutions d’éclairage doit être réalisée par des professionnels pour garantir un fonctionnement optimal. Cette étape inclut également le paramétrage des luminaires pour ajuster la luminosité en fonction des besoins des différents espaces.</w:t>
      </w:r>
    </w:p>
    <w:p w14:paraId="4545665A" w14:textId="29DB0F63" w:rsidR="002C5585" w:rsidRPr="002C5585" w:rsidRDefault="002C5585" w:rsidP="002C5585">
      <w:pPr>
        <w:shd w:val="clear" w:color="auto" w:fill="F7F7F7"/>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Pr>
          <w:rFonts w:ascii="Arial" w:eastAsia="Times New Roman" w:hAnsi="Arial" w:cs="Arial"/>
          <w:b/>
          <w:bCs/>
          <w:color w:val="383838"/>
          <w:spacing w:val="-10"/>
          <w:kern w:val="0"/>
          <w:sz w:val="84"/>
          <w:szCs w:val="84"/>
          <w:lang w:eastAsia="fr-FR"/>
          <w14:ligatures w14:val="none"/>
        </w:rPr>
        <w:t>4-</w:t>
      </w:r>
      <w:r w:rsidRPr="002C5585">
        <w:rPr>
          <w:rFonts w:ascii="Arial" w:eastAsia="Times New Roman" w:hAnsi="Arial" w:cs="Arial"/>
          <w:b/>
          <w:bCs/>
          <w:color w:val="383838"/>
          <w:spacing w:val="-10"/>
          <w:kern w:val="0"/>
          <w:sz w:val="84"/>
          <w:szCs w:val="84"/>
          <w:lang w:eastAsia="fr-FR"/>
          <w14:ligatures w14:val="none"/>
        </w:rPr>
        <w:t>Suivi des performances et validation des économies d’énergie</w:t>
      </w:r>
    </w:p>
    <w:p w14:paraId="12745D32" w14:textId="77777777" w:rsidR="002C5585" w:rsidRPr="002C5585" w:rsidRDefault="002C5585" w:rsidP="002C5585">
      <w:pPr>
        <w:shd w:val="clear" w:color="auto" w:fill="F7F7F7"/>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Après l’installation, un suivi est nécessaire pour vérifier que les économies d’énergie prévues sont atteintes. Ce suivi est crucial pour l’obtention des Certificats d’Économies d’Énergie (CEE), car il permet de valider les résultats et de calculer précisément les économies réalisées.</w:t>
      </w:r>
    </w:p>
    <w:p w14:paraId="11E187F2" w14:textId="77777777" w:rsidR="002C5585" w:rsidRPr="002C5585" w:rsidRDefault="002C5585" w:rsidP="002C5585">
      <w:pPr>
        <w:shd w:val="clear" w:color="auto" w:fill="FFFFFF"/>
        <w:spacing w:after="0" w:line="900" w:lineRule="atLeast"/>
        <w:outlineLvl w:val="1"/>
        <w:rPr>
          <w:rFonts w:ascii="Arial" w:eastAsia="Times New Roman" w:hAnsi="Arial" w:cs="Arial"/>
          <w:b/>
          <w:bCs/>
          <w:color w:val="383838"/>
          <w:spacing w:val="-10"/>
          <w:kern w:val="0"/>
          <w:sz w:val="96"/>
          <w:szCs w:val="96"/>
          <w:lang w:eastAsia="fr-FR"/>
          <w14:ligatures w14:val="none"/>
        </w:rPr>
      </w:pPr>
      <w:r w:rsidRPr="002C5585">
        <w:rPr>
          <w:rFonts w:ascii="Arial" w:eastAsia="Times New Roman" w:hAnsi="Arial" w:cs="Arial"/>
          <w:b/>
          <w:bCs/>
          <w:color w:val="383838"/>
          <w:spacing w:val="-10"/>
          <w:kern w:val="0"/>
          <w:sz w:val="96"/>
          <w:szCs w:val="96"/>
          <w:lang w:eastAsia="fr-FR"/>
          <w14:ligatures w14:val="none"/>
        </w:rPr>
        <w:lastRenderedPageBreak/>
        <w:t>Quels sont les avantages économiques ?</w:t>
      </w:r>
    </w:p>
    <w:p w14:paraId="1428FCA0" w14:textId="77777777" w:rsidR="002C5585" w:rsidRPr="002C5585" w:rsidRDefault="002C5585" w:rsidP="002C5585">
      <w:pPr>
        <w:shd w:val="clear" w:color="auto" w:fill="FFFFFF"/>
        <w:spacing w:before="100" w:beforeAutospacing="1" w:after="100" w:afterAutospacing="1"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Le relamping, soutenu par les CEE, présente de nombreux avantages financiers pour les entreprises, en rendant l’investissement plus rentable.</w:t>
      </w:r>
    </w:p>
    <w:p w14:paraId="3C8ECCD4" w14:textId="77777777" w:rsidR="002C5585" w:rsidRPr="002C5585" w:rsidRDefault="002C5585" w:rsidP="002C5585">
      <w:pPr>
        <w:shd w:val="clear" w:color="auto" w:fill="FFFFFF"/>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sidRPr="002C5585">
        <w:rPr>
          <w:rFonts w:ascii="Arial" w:eastAsia="Times New Roman" w:hAnsi="Arial" w:cs="Arial"/>
          <w:b/>
          <w:bCs/>
          <w:color w:val="383838"/>
          <w:spacing w:val="-10"/>
          <w:kern w:val="0"/>
          <w:sz w:val="84"/>
          <w:szCs w:val="84"/>
          <w:lang w:eastAsia="fr-FR"/>
          <w14:ligatures w14:val="none"/>
        </w:rPr>
        <w:t>Réduction des coûts d’installation grâce aux CEE</w:t>
      </w:r>
    </w:p>
    <w:p w14:paraId="4D54A2CD" w14:textId="77777777" w:rsidR="002C5585" w:rsidRPr="002C5585" w:rsidRDefault="002C5585" w:rsidP="002C5585">
      <w:pPr>
        <w:shd w:val="clear" w:color="auto" w:fill="FFFFFF"/>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Les CEE permettent de réduire le coût initial d’un projet de relamping. Les entreprises peuvent ainsi bénéficier de solutions d’éclairage performantes sans supporter l’intégralité des coûts, ce qui améliore leur retour sur investissement.</w:t>
      </w:r>
    </w:p>
    <w:p w14:paraId="39350137" w14:textId="77777777" w:rsidR="002C5585" w:rsidRPr="002C5585" w:rsidRDefault="002C5585" w:rsidP="002C5585">
      <w:pPr>
        <w:shd w:val="clear" w:color="auto" w:fill="FFFFFF"/>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sidRPr="002C5585">
        <w:rPr>
          <w:rFonts w:ascii="Arial" w:eastAsia="Times New Roman" w:hAnsi="Arial" w:cs="Arial"/>
          <w:b/>
          <w:bCs/>
          <w:color w:val="383838"/>
          <w:spacing w:val="-10"/>
          <w:kern w:val="0"/>
          <w:sz w:val="84"/>
          <w:szCs w:val="84"/>
          <w:lang w:eastAsia="fr-FR"/>
          <w14:ligatures w14:val="none"/>
        </w:rPr>
        <w:t>Économies sur les factures d’énergie</w:t>
      </w:r>
    </w:p>
    <w:p w14:paraId="417C7E1C" w14:textId="77777777" w:rsidR="002C5585" w:rsidRPr="002C5585" w:rsidRDefault="002C5585" w:rsidP="002C5585">
      <w:pPr>
        <w:shd w:val="clear" w:color="auto" w:fill="FFFFFF"/>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En passant aux technologies LED, les entreprises peuvent réduire de 50 % à 80 % leurs coûts d’éclairage. Ces économies se traduisent par une réduction significative des factures d’électricité, avec un impact positif sur les charges d’exploitation.</w:t>
      </w:r>
    </w:p>
    <w:p w14:paraId="503D1A2A" w14:textId="77777777" w:rsidR="002C5585" w:rsidRPr="002C5585" w:rsidRDefault="002C5585" w:rsidP="002C5585">
      <w:pPr>
        <w:shd w:val="clear" w:color="auto" w:fill="FFFFFF"/>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sidRPr="002C5585">
        <w:rPr>
          <w:rFonts w:ascii="Arial" w:eastAsia="Times New Roman" w:hAnsi="Arial" w:cs="Arial"/>
          <w:b/>
          <w:bCs/>
          <w:color w:val="383838"/>
          <w:spacing w:val="-10"/>
          <w:kern w:val="0"/>
          <w:sz w:val="84"/>
          <w:szCs w:val="84"/>
          <w:lang w:eastAsia="fr-FR"/>
          <w14:ligatures w14:val="none"/>
        </w:rPr>
        <w:lastRenderedPageBreak/>
        <w:t>Baisse des coûts de maintenance</w:t>
      </w:r>
    </w:p>
    <w:p w14:paraId="5321A7E1" w14:textId="77777777" w:rsidR="002C5585" w:rsidRPr="002C5585" w:rsidRDefault="002C5585" w:rsidP="002C5585">
      <w:pPr>
        <w:shd w:val="clear" w:color="auto" w:fill="FFFFFF"/>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Les solutions LED ont une durée de vie plus longue que les éclairages traditionnels, réduisant ainsi les besoins de maintenance et les coûts associés. Les entreprises bénéficient donc d’un éclairage durable, performant et nécessitant moins d’interventions.</w:t>
      </w:r>
    </w:p>
    <w:p w14:paraId="7961DE5F" w14:textId="77777777" w:rsidR="002C5585" w:rsidRPr="002C5585" w:rsidRDefault="002C5585" w:rsidP="002C5585">
      <w:pPr>
        <w:shd w:val="clear" w:color="auto" w:fill="FFFFFF"/>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sidRPr="002C5585">
        <w:rPr>
          <w:rFonts w:ascii="Arial" w:eastAsia="Times New Roman" w:hAnsi="Arial" w:cs="Arial"/>
          <w:b/>
          <w:bCs/>
          <w:color w:val="383838"/>
          <w:spacing w:val="-10"/>
          <w:kern w:val="0"/>
          <w:sz w:val="84"/>
          <w:szCs w:val="84"/>
          <w:lang w:eastAsia="fr-FR"/>
          <w14:ligatures w14:val="none"/>
        </w:rPr>
        <w:t>Meilleure qualité d’éclairage et confort visuel</w:t>
      </w:r>
    </w:p>
    <w:p w14:paraId="3A9CE09E" w14:textId="77777777" w:rsidR="002C5585" w:rsidRPr="002C5585" w:rsidRDefault="002C5585" w:rsidP="002C5585">
      <w:pPr>
        <w:shd w:val="clear" w:color="auto" w:fill="FFFFFF"/>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Les solutions LED offrent une lumière uniforme et agréable, réduisant l’éblouissement et améliorant le confort visuel des employés. Un éclairage de qualité favorise la productivité et contribue au bien-être général.</w:t>
      </w:r>
    </w:p>
    <w:p w14:paraId="54D4D740" w14:textId="77777777" w:rsidR="002C5585" w:rsidRPr="002C5585" w:rsidRDefault="002C5585" w:rsidP="002C5585">
      <w:pPr>
        <w:shd w:val="clear" w:color="auto" w:fill="FFFFFF"/>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sidRPr="002C5585">
        <w:rPr>
          <w:rFonts w:ascii="Arial" w:eastAsia="Times New Roman" w:hAnsi="Arial" w:cs="Arial"/>
          <w:b/>
          <w:bCs/>
          <w:color w:val="383838"/>
          <w:spacing w:val="-10"/>
          <w:kern w:val="0"/>
          <w:sz w:val="84"/>
          <w:szCs w:val="84"/>
          <w:lang w:eastAsia="fr-FR"/>
          <w14:ligatures w14:val="none"/>
        </w:rPr>
        <w:t>Sécurité renforcée</w:t>
      </w:r>
    </w:p>
    <w:p w14:paraId="04529EAD" w14:textId="77777777" w:rsidR="002C5585" w:rsidRPr="002C5585" w:rsidRDefault="002C5585" w:rsidP="002C5585">
      <w:pPr>
        <w:shd w:val="clear" w:color="auto" w:fill="FFFFFF"/>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Un éclairage fiable et uniforme permet de réduire les risques d’accidents, en particulier dans les zones de travail sensibles. Les solutions LED offrent une stabilité de luminosité, contribuant à un environnement plus sûr pour les employés.</w:t>
      </w:r>
    </w:p>
    <w:p w14:paraId="709DFFF4" w14:textId="77777777" w:rsidR="002C5585" w:rsidRPr="002C5585" w:rsidRDefault="002C5585" w:rsidP="002C5585">
      <w:pPr>
        <w:shd w:val="clear" w:color="auto" w:fill="FFFFFF"/>
        <w:spacing w:before="100" w:beforeAutospacing="1" w:after="300" w:line="750" w:lineRule="atLeast"/>
        <w:outlineLvl w:val="2"/>
        <w:rPr>
          <w:rFonts w:ascii="Arial" w:eastAsia="Times New Roman" w:hAnsi="Arial" w:cs="Arial"/>
          <w:b/>
          <w:bCs/>
          <w:color w:val="383838"/>
          <w:spacing w:val="-10"/>
          <w:kern w:val="0"/>
          <w:sz w:val="84"/>
          <w:szCs w:val="84"/>
          <w:lang w:eastAsia="fr-FR"/>
          <w14:ligatures w14:val="none"/>
        </w:rPr>
      </w:pPr>
      <w:r w:rsidRPr="002C5585">
        <w:rPr>
          <w:rFonts w:ascii="Arial" w:eastAsia="Times New Roman" w:hAnsi="Arial" w:cs="Arial"/>
          <w:b/>
          <w:bCs/>
          <w:color w:val="383838"/>
          <w:spacing w:val="-10"/>
          <w:kern w:val="0"/>
          <w:sz w:val="84"/>
          <w:szCs w:val="84"/>
          <w:lang w:eastAsia="fr-FR"/>
          <w14:ligatures w14:val="none"/>
        </w:rPr>
        <w:lastRenderedPageBreak/>
        <w:t>Image de marque et engagement environnemental</w:t>
      </w:r>
    </w:p>
    <w:p w14:paraId="78711AD0" w14:textId="77777777" w:rsidR="002C5585" w:rsidRPr="002C5585" w:rsidRDefault="002C5585" w:rsidP="002C5585">
      <w:pPr>
        <w:shd w:val="clear" w:color="auto" w:fill="FFFFFF"/>
        <w:spacing w:after="0" w:line="360" w:lineRule="atLeast"/>
        <w:rPr>
          <w:rFonts w:ascii="Arial" w:eastAsia="Times New Roman" w:hAnsi="Arial" w:cs="Arial"/>
          <w:color w:val="383838"/>
          <w:kern w:val="0"/>
          <w:sz w:val="27"/>
          <w:szCs w:val="27"/>
          <w:lang w:eastAsia="fr-FR"/>
          <w14:ligatures w14:val="none"/>
        </w:rPr>
      </w:pPr>
      <w:r w:rsidRPr="002C5585">
        <w:rPr>
          <w:rFonts w:ascii="Arial" w:eastAsia="Times New Roman" w:hAnsi="Arial" w:cs="Arial"/>
          <w:color w:val="383838"/>
          <w:kern w:val="0"/>
          <w:sz w:val="27"/>
          <w:szCs w:val="27"/>
          <w:lang w:eastAsia="fr-FR"/>
          <w14:ligatures w14:val="none"/>
        </w:rPr>
        <w:t>En investissant dans le relamping, les entreprises montrent leur engagement envers la durabilité et la responsabilité environnementale. Cette démarche renforce leur image de marque auprès des partenaires, clients et collaborateurs, de plus en plus attentifs aux actions écologiques.</w:t>
      </w:r>
    </w:p>
    <w:p w14:paraId="269C579A" w14:textId="77777777" w:rsidR="00585C6D" w:rsidRDefault="00585C6D" w:rsidP="002C5585"/>
    <w:sectPr w:rsidR="00585C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585"/>
    <w:rsid w:val="002C5585"/>
    <w:rsid w:val="00585C6D"/>
    <w:rsid w:val="009B3FA8"/>
    <w:rsid w:val="009F3871"/>
    <w:rsid w:val="00FD764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57CD"/>
  <w15:chartTrackingRefBased/>
  <w15:docId w15:val="{43188E18-4FD6-4CAD-9898-EA28B6F3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C55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C55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2C558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C558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C558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C55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55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55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55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558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2C558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2C558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C558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C558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C55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55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55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5585"/>
    <w:rPr>
      <w:rFonts w:eastAsiaTheme="majorEastAsia" w:cstheme="majorBidi"/>
      <w:color w:val="272727" w:themeColor="text1" w:themeTint="D8"/>
    </w:rPr>
  </w:style>
  <w:style w:type="paragraph" w:styleId="Titre">
    <w:name w:val="Title"/>
    <w:basedOn w:val="Normal"/>
    <w:next w:val="Normal"/>
    <w:link w:val="TitreCar"/>
    <w:uiPriority w:val="10"/>
    <w:qFormat/>
    <w:rsid w:val="002C5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55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55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55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5585"/>
    <w:pPr>
      <w:spacing w:before="160"/>
      <w:jc w:val="center"/>
    </w:pPr>
    <w:rPr>
      <w:i/>
      <w:iCs/>
      <w:color w:val="404040" w:themeColor="text1" w:themeTint="BF"/>
    </w:rPr>
  </w:style>
  <w:style w:type="character" w:customStyle="1" w:styleId="CitationCar">
    <w:name w:val="Citation Car"/>
    <w:basedOn w:val="Policepardfaut"/>
    <w:link w:val="Citation"/>
    <w:uiPriority w:val="29"/>
    <w:rsid w:val="002C5585"/>
    <w:rPr>
      <w:i/>
      <w:iCs/>
      <w:color w:val="404040" w:themeColor="text1" w:themeTint="BF"/>
    </w:rPr>
  </w:style>
  <w:style w:type="paragraph" w:styleId="Paragraphedeliste">
    <w:name w:val="List Paragraph"/>
    <w:basedOn w:val="Normal"/>
    <w:uiPriority w:val="34"/>
    <w:qFormat/>
    <w:rsid w:val="002C5585"/>
    <w:pPr>
      <w:ind w:left="720"/>
      <w:contextualSpacing/>
    </w:pPr>
  </w:style>
  <w:style w:type="character" w:styleId="Accentuationintense">
    <w:name w:val="Intense Emphasis"/>
    <w:basedOn w:val="Policepardfaut"/>
    <w:uiPriority w:val="21"/>
    <w:qFormat/>
    <w:rsid w:val="002C5585"/>
    <w:rPr>
      <w:i/>
      <w:iCs/>
      <w:color w:val="2F5496" w:themeColor="accent1" w:themeShade="BF"/>
    </w:rPr>
  </w:style>
  <w:style w:type="paragraph" w:styleId="Citationintense">
    <w:name w:val="Intense Quote"/>
    <w:basedOn w:val="Normal"/>
    <w:next w:val="Normal"/>
    <w:link w:val="CitationintenseCar"/>
    <w:uiPriority w:val="30"/>
    <w:qFormat/>
    <w:rsid w:val="002C5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C5585"/>
    <w:rPr>
      <w:i/>
      <w:iCs/>
      <w:color w:val="2F5496" w:themeColor="accent1" w:themeShade="BF"/>
    </w:rPr>
  </w:style>
  <w:style w:type="character" w:styleId="Rfrenceintense">
    <w:name w:val="Intense Reference"/>
    <w:basedOn w:val="Policepardfaut"/>
    <w:uiPriority w:val="32"/>
    <w:qFormat/>
    <w:rsid w:val="002C5585"/>
    <w:rPr>
      <w:b/>
      <w:bCs/>
      <w:smallCaps/>
      <w:color w:val="2F5496" w:themeColor="accent1" w:themeShade="BF"/>
      <w:spacing w:val="5"/>
    </w:rPr>
  </w:style>
  <w:style w:type="paragraph" w:styleId="NormalWeb">
    <w:name w:val="Normal (Web)"/>
    <w:basedOn w:val="Normal"/>
    <w:uiPriority w:val="99"/>
    <w:semiHidden/>
    <w:unhideWhenUsed/>
    <w:rsid w:val="002C558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elementor-icon-box-description">
    <w:name w:val="elementor-icon-box-description"/>
    <w:basedOn w:val="Normal"/>
    <w:rsid w:val="002C558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12077">
      <w:bodyDiv w:val="1"/>
      <w:marLeft w:val="0"/>
      <w:marRight w:val="0"/>
      <w:marTop w:val="0"/>
      <w:marBottom w:val="0"/>
      <w:divBdr>
        <w:top w:val="none" w:sz="0" w:space="0" w:color="auto"/>
        <w:left w:val="none" w:sz="0" w:space="0" w:color="auto"/>
        <w:bottom w:val="none" w:sz="0" w:space="0" w:color="auto"/>
        <w:right w:val="none" w:sz="0" w:space="0" w:color="auto"/>
      </w:divBdr>
    </w:div>
    <w:div w:id="255403525">
      <w:bodyDiv w:val="1"/>
      <w:marLeft w:val="0"/>
      <w:marRight w:val="0"/>
      <w:marTop w:val="0"/>
      <w:marBottom w:val="0"/>
      <w:divBdr>
        <w:top w:val="none" w:sz="0" w:space="0" w:color="auto"/>
        <w:left w:val="none" w:sz="0" w:space="0" w:color="auto"/>
        <w:bottom w:val="none" w:sz="0" w:space="0" w:color="auto"/>
        <w:right w:val="none" w:sz="0" w:space="0" w:color="auto"/>
      </w:divBdr>
      <w:divsChild>
        <w:div w:id="875582502">
          <w:marLeft w:val="0"/>
          <w:marRight w:val="0"/>
          <w:marTop w:val="0"/>
          <w:marBottom w:val="0"/>
          <w:divBdr>
            <w:top w:val="none" w:sz="0" w:space="0" w:color="auto"/>
            <w:left w:val="none" w:sz="0" w:space="0" w:color="auto"/>
            <w:bottom w:val="none" w:sz="0" w:space="0" w:color="auto"/>
            <w:right w:val="none" w:sz="0" w:space="0" w:color="auto"/>
          </w:divBdr>
        </w:div>
        <w:div w:id="1418285179">
          <w:marLeft w:val="0"/>
          <w:marRight w:val="0"/>
          <w:marTop w:val="0"/>
          <w:marBottom w:val="0"/>
          <w:divBdr>
            <w:top w:val="none" w:sz="0" w:space="0" w:color="auto"/>
            <w:left w:val="none" w:sz="0" w:space="0" w:color="auto"/>
            <w:bottom w:val="none" w:sz="0" w:space="0" w:color="auto"/>
            <w:right w:val="none" w:sz="0" w:space="0" w:color="auto"/>
          </w:divBdr>
        </w:div>
      </w:divsChild>
    </w:div>
    <w:div w:id="266237026">
      <w:bodyDiv w:val="1"/>
      <w:marLeft w:val="0"/>
      <w:marRight w:val="0"/>
      <w:marTop w:val="0"/>
      <w:marBottom w:val="0"/>
      <w:divBdr>
        <w:top w:val="none" w:sz="0" w:space="0" w:color="auto"/>
        <w:left w:val="none" w:sz="0" w:space="0" w:color="auto"/>
        <w:bottom w:val="none" w:sz="0" w:space="0" w:color="auto"/>
        <w:right w:val="none" w:sz="0" w:space="0" w:color="auto"/>
      </w:divBdr>
    </w:div>
    <w:div w:id="374232992">
      <w:bodyDiv w:val="1"/>
      <w:marLeft w:val="0"/>
      <w:marRight w:val="0"/>
      <w:marTop w:val="0"/>
      <w:marBottom w:val="0"/>
      <w:divBdr>
        <w:top w:val="none" w:sz="0" w:space="0" w:color="auto"/>
        <w:left w:val="none" w:sz="0" w:space="0" w:color="auto"/>
        <w:bottom w:val="none" w:sz="0" w:space="0" w:color="auto"/>
        <w:right w:val="none" w:sz="0" w:space="0" w:color="auto"/>
      </w:divBdr>
    </w:div>
    <w:div w:id="596716843">
      <w:bodyDiv w:val="1"/>
      <w:marLeft w:val="0"/>
      <w:marRight w:val="0"/>
      <w:marTop w:val="0"/>
      <w:marBottom w:val="0"/>
      <w:divBdr>
        <w:top w:val="none" w:sz="0" w:space="0" w:color="auto"/>
        <w:left w:val="none" w:sz="0" w:space="0" w:color="auto"/>
        <w:bottom w:val="none" w:sz="0" w:space="0" w:color="auto"/>
        <w:right w:val="none" w:sz="0" w:space="0" w:color="auto"/>
      </w:divBdr>
      <w:divsChild>
        <w:div w:id="691492999">
          <w:marLeft w:val="0"/>
          <w:marRight w:val="0"/>
          <w:marTop w:val="0"/>
          <w:marBottom w:val="0"/>
          <w:divBdr>
            <w:top w:val="none" w:sz="0" w:space="0" w:color="auto"/>
            <w:left w:val="none" w:sz="0" w:space="0" w:color="auto"/>
            <w:bottom w:val="none" w:sz="0" w:space="0" w:color="auto"/>
            <w:right w:val="none" w:sz="0" w:space="0" w:color="auto"/>
          </w:divBdr>
          <w:divsChild>
            <w:div w:id="44254597">
              <w:marLeft w:val="0"/>
              <w:marRight w:val="0"/>
              <w:marTop w:val="0"/>
              <w:marBottom w:val="0"/>
              <w:divBdr>
                <w:top w:val="none" w:sz="0" w:space="0" w:color="auto"/>
                <w:left w:val="none" w:sz="0" w:space="0" w:color="auto"/>
                <w:bottom w:val="none" w:sz="0" w:space="0" w:color="auto"/>
                <w:right w:val="none" w:sz="0" w:space="0" w:color="auto"/>
              </w:divBdr>
              <w:divsChild>
                <w:div w:id="321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1932">
          <w:marLeft w:val="0"/>
          <w:marRight w:val="0"/>
          <w:marTop w:val="0"/>
          <w:marBottom w:val="0"/>
          <w:divBdr>
            <w:top w:val="none" w:sz="0" w:space="0" w:color="auto"/>
            <w:left w:val="none" w:sz="0" w:space="0" w:color="auto"/>
            <w:bottom w:val="none" w:sz="0" w:space="0" w:color="auto"/>
            <w:right w:val="none" w:sz="0" w:space="0" w:color="auto"/>
          </w:divBdr>
          <w:divsChild>
            <w:div w:id="124660773">
              <w:marLeft w:val="0"/>
              <w:marRight w:val="0"/>
              <w:marTop w:val="0"/>
              <w:marBottom w:val="0"/>
              <w:divBdr>
                <w:top w:val="none" w:sz="0" w:space="0" w:color="auto"/>
                <w:left w:val="none" w:sz="0" w:space="0" w:color="auto"/>
                <w:bottom w:val="none" w:sz="0" w:space="0" w:color="auto"/>
                <w:right w:val="none" w:sz="0" w:space="0" w:color="auto"/>
              </w:divBdr>
              <w:divsChild>
                <w:div w:id="13921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13836">
      <w:bodyDiv w:val="1"/>
      <w:marLeft w:val="0"/>
      <w:marRight w:val="0"/>
      <w:marTop w:val="0"/>
      <w:marBottom w:val="0"/>
      <w:divBdr>
        <w:top w:val="none" w:sz="0" w:space="0" w:color="auto"/>
        <w:left w:val="none" w:sz="0" w:space="0" w:color="auto"/>
        <w:bottom w:val="none" w:sz="0" w:space="0" w:color="auto"/>
        <w:right w:val="none" w:sz="0" w:space="0" w:color="auto"/>
      </w:divBdr>
    </w:div>
    <w:div w:id="932204404">
      <w:bodyDiv w:val="1"/>
      <w:marLeft w:val="0"/>
      <w:marRight w:val="0"/>
      <w:marTop w:val="0"/>
      <w:marBottom w:val="0"/>
      <w:divBdr>
        <w:top w:val="none" w:sz="0" w:space="0" w:color="auto"/>
        <w:left w:val="none" w:sz="0" w:space="0" w:color="auto"/>
        <w:bottom w:val="none" w:sz="0" w:space="0" w:color="auto"/>
        <w:right w:val="none" w:sz="0" w:space="0" w:color="auto"/>
      </w:divBdr>
    </w:div>
    <w:div w:id="1155149864">
      <w:bodyDiv w:val="1"/>
      <w:marLeft w:val="0"/>
      <w:marRight w:val="0"/>
      <w:marTop w:val="0"/>
      <w:marBottom w:val="0"/>
      <w:divBdr>
        <w:top w:val="none" w:sz="0" w:space="0" w:color="auto"/>
        <w:left w:val="none" w:sz="0" w:space="0" w:color="auto"/>
        <w:bottom w:val="none" w:sz="0" w:space="0" w:color="auto"/>
        <w:right w:val="none" w:sz="0" w:space="0" w:color="auto"/>
      </w:divBdr>
    </w:div>
    <w:div w:id="1296837790">
      <w:bodyDiv w:val="1"/>
      <w:marLeft w:val="0"/>
      <w:marRight w:val="0"/>
      <w:marTop w:val="0"/>
      <w:marBottom w:val="0"/>
      <w:divBdr>
        <w:top w:val="none" w:sz="0" w:space="0" w:color="auto"/>
        <w:left w:val="none" w:sz="0" w:space="0" w:color="auto"/>
        <w:bottom w:val="none" w:sz="0" w:space="0" w:color="auto"/>
        <w:right w:val="none" w:sz="0" w:space="0" w:color="auto"/>
      </w:divBdr>
      <w:divsChild>
        <w:div w:id="89861207">
          <w:marLeft w:val="0"/>
          <w:marRight w:val="0"/>
          <w:marTop w:val="0"/>
          <w:marBottom w:val="0"/>
          <w:divBdr>
            <w:top w:val="none" w:sz="0" w:space="0" w:color="auto"/>
            <w:left w:val="none" w:sz="0" w:space="0" w:color="auto"/>
            <w:bottom w:val="none" w:sz="0" w:space="0" w:color="auto"/>
            <w:right w:val="none" w:sz="0" w:space="0" w:color="auto"/>
          </w:divBdr>
        </w:div>
        <w:div w:id="408310438">
          <w:marLeft w:val="0"/>
          <w:marRight w:val="0"/>
          <w:marTop w:val="0"/>
          <w:marBottom w:val="0"/>
          <w:divBdr>
            <w:top w:val="none" w:sz="0" w:space="0" w:color="auto"/>
            <w:left w:val="none" w:sz="0" w:space="0" w:color="auto"/>
            <w:bottom w:val="none" w:sz="0" w:space="0" w:color="auto"/>
            <w:right w:val="none" w:sz="0" w:space="0" w:color="auto"/>
          </w:divBdr>
        </w:div>
      </w:divsChild>
    </w:div>
    <w:div w:id="1648976369">
      <w:bodyDiv w:val="1"/>
      <w:marLeft w:val="0"/>
      <w:marRight w:val="0"/>
      <w:marTop w:val="0"/>
      <w:marBottom w:val="0"/>
      <w:divBdr>
        <w:top w:val="none" w:sz="0" w:space="0" w:color="auto"/>
        <w:left w:val="none" w:sz="0" w:space="0" w:color="auto"/>
        <w:bottom w:val="none" w:sz="0" w:space="0" w:color="auto"/>
        <w:right w:val="none" w:sz="0" w:space="0" w:color="auto"/>
      </w:divBdr>
    </w:div>
    <w:div w:id="1675768580">
      <w:bodyDiv w:val="1"/>
      <w:marLeft w:val="0"/>
      <w:marRight w:val="0"/>
      <w:marTop w:val="0"/>
      <w:marBottom w:val="0"/>
      <w:divBdr>
        <w:top w:val="none" w:sz="0" w:space="0" w:color="auto"/>
        <w:left w:val="none" w:sz="0" w:space="0" w:color="auto"/>
        <w:bottom w:val="none" w:sz="0" w:space="0" w:color="auto"/>
        <w:right w:val="none" w:sz="0" w:space="0" w:color="auto"/>
      </w:divBdr>
    </w:div>
    <w:div w:id="1768041885">
      <w:bodyDiv w:val="1"/>
      <w:marLeft w:val="0"/>
      <w:marRight w:val="0"/>
      <w:marTop w:val="0"/>
      <w:marBottom w:val="0"/>
      <w:divBdr>
        <w:top w:val="none" w:sz="0" w:space="0" w:color="auto"/>
        <w:left w:val="none" w:sz="0" w:space="0" w:color="auto"/>
        <w:bottom w:val="none" w:sz="0" w:space="0" w:color="auto"/>
        <w:right w:val="none" w:sz="0" w:space="0" w:color="auto"/>
      </w:divBdr>
      <w:divsChild>
        <w:div w:id="322201456">
          <w:marLeft w:val="0"/>
          <w:marRight w:val="0"/>
          <w:marTop w:val="0"/>
          <w:marBottom w:val="0"/>
          <w:divBdr>
            <w:top w:val="none" w:sz="0" w:space="0" w:color="auto"/>
            <w:left w:val="none" w:sz="0" w:space="0" w:color="auto"/>
            <w:bottom w:val="none" w:sz="0" w:space="0" w:color="auto"/>
            <w:right w:val="none" w:sz="0" w:space="0" w:color="auto"/>
          </w:divBdr>
        </w:div>
        <w:div w:id="1352685830">
          <w:marLeft w:val="0"/>
          <w:marRight w:val="0"/>
          <w:marTop w:val="0"/>
          <w:marBottom w:val="0"/>
          <w:divBdr>
            <w:top w:val="none" w:sz="0" w:space="0" w:color="auto"/>
            <w:left w:val="none" w:sz="0" w:space="0" w:color="auto"/>
            <w:bottom w:val="none" w:sz="0" w:space="0" w:color="auto"/>
            <w:right w:val="none" w:sz="0" w:space="0" w:color="auto"/>
          </w:divBdr>
        </w:div>
      </w:divsChild>
    </w:div>
    <w:div w:id="1807314073">
      <w:bodyDiv w:val="1"/>
      <w:marLeft w:val="0"/>
      <w:marRight w:val="0"/>
      <w:marTop w:val="0"/>
      <w:marBottom w:val="0"/>
      <w:divBdr>
        <w:top w:val="none" w:sz="0" w:space="0" w:color="auto"/>
        <w:left w:val="none" w:sz="0" w:space="0" w:color="auto"/>
        <w:bottom w:val="none" w:sz="0" w:space="0" w:color="auto"/>
        <w:right w:val="none" w:sz="0" w:space="0" w:color="auto"/>
      </w:divBdr>
      <w:divsChild>
        <w:div w:id="1492255188">
          <w:marLeft w:val="0"/>
          <w:marRight w:val="0"/>
          <w:marTop w:val="0"/>
          <w:marBottom w:val="0"/>
          <w:divBdr>
            <w:top w:val="none" w:sz="0" w:space="0" w:color="auto"/>
            <w:left w:val="none" w:sz="0" w:space="0" w:color="auto"/>
            <w:bottom w:val="none" w:sz="0" w:space="0" w:color="auto"/>
            <w:right w:val="none" w:sz="0" w:space="0" w:color="auto"/>
          </w:divBdr>
        </w:div>
        <w:div w:id="1026752755">
          <w:marLeft w:val="0"/>
          <w:marRight w:val="0"/>
          <w:marTop w:val="0"/>
          <w:marBottom w:val="0"/>
          <w:divBdr>
            <w:top w:val="none" w:sz="0" w:space="0" w:color="auto"/>
            <w:left w:val="none" w:sz="0" w:space="0" w:color="auto"/>
            <w:bottom w:val="none" w:sz="0" w:space="0" w:color="auto"/>
            <w:right w:val="none" w:sz="0" w:space="0" w:color="auto"/>
          </w:divBdr>
        </w:div>
      </w:divsChild>
    </w:div>
    <w:div w:id="2011830827">
      <w:bodyDiv w:val="1"/>
      <w:marLeft w:val="0"/>
      <w:marRight w:val="0"/>
      <w:marTop w:val="0"/>
      <w:marBottom w:val="0"/>
      <w:divBdr>
        <w:top w:val="none" w:sz="0" w:space="0" w:color="auto"/>
        <w:left w:val="none" w:sz="0" w:space="0" w:color="auto"/>
        <w:bottom w:val="none" w:sz="0" w:space="0" w:color="auto"/>
        <w:right w:val="none" w:sz="0" w:space="0" w:color="auto"/>
      </w:divBdr>
      <w:divsChild>
        <w:div w:id="1107391778">
          <w:marLeft w:val="0"/>
          <w:marRight w:val="0"/>
          <w:marTop w:val="0"/>
          <w:marBottom w:val="0"/>
          <w:divBdr>
            <w:top w:val="none" w:sz="0" w:space="0" w:color="auto"/>
            <w:left w:val="none" w:sz="0" w:space="0" w:color="auto"/>
            <w:bottom w:val="none" w:sz="0" w:space="0" w:color="auto"/>
            <w:right w:val="none" w:sz="0" w:space="0" w:color="auto"/>
          </w:divBdr>
        </w:div>
        <w:div w:id="1277298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860</Words>
  <Characters>4734</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Maarek</dc:creator>
  <cp:keywords/>
  <dc:description/>
  <cp:lastModifiedBy>Patrick Maarek</cp:lastModifiedBy>
  <cp:revision>1</cp:revision>
  <dcterms:created xsi:type="dcterms:W3CDTF">2025-09-21T06:20:00Z</dcterms:created>
  <dcterms:modified xsi:type="dcterms:W3CDTF">2025-09-21T06:24:00Z</dcterms:modified>
</cp:coreProperties>
</file>