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  <w:sz w:val="32"/>
        </w:rPr>
        <w:t>ГУАП</w:t>
      </w:r>
    </w:p>
    <w:p>
      <w:pPr>
        <w:ind w:firstLine="0"/>
        <w:jc w:val="center"/>
      </w:pPr>
      <w:r>
        <w:rPr>
          <w:b w:val="0"/>
          <w:sz w:val="28"/>
        </w:rPr>
        <w:t>Санкт-Петербургский государственный университет</w:t>
      </w:r>
    </w:p>
    <w:p>
      <w:pPr>
        <w:ind w:firstLine="0"/>
        <w:jc w:val="center"/>
      </w:pPr>
      <w:r>
        <w:rPr>
          <w:b w:val="0"/>
          <w:sz w:val="28"/>
        </w:rPr>
        <w:t>аэрокосмического приборостроения</w:t>
      </w:r>
    </w:p>
    <w:p>
      <w:r>
        <w:br/>
        <w:br/>
      </w:r>
    </w:p>
    <w:p>
      <w:pPr>
        <w:pStyle w:val="Title"/>
        <w:ind w:firstLine="0"/>
        <w:jc w:val="center"/>
      </w:pPr>
      <w:r>
        <w:t>ОТЧЁТ ПО ЛАБОРАТОРНОЙ РАБОТЕ</w:t>
      </w:r>
    </w:p>
    <w:p>
      <w:pPr>
        <w:ind w:firstLine="0"/>
        <w:jc w:val="center"/>
      </w:pPr>
      <w:r>
        <w:rPr>
          <w:b/>
          <w:sz w:val="32"/>
        </w:rPr>
        <w:t>Лабораторная работа № 1</w:t>
      </w:r>
    </w:p>
    <w:p>
      <w:pPr>
        <w:ind w:firstLine="0"/>
        <w:jc w:val="center"/>
      </w:pPr>
      <w:r>
        <w:rPr>
          <w:b w:val="0"/>
          <w:sz w:val="28"/>
        </w:rPr>
        <w:t>Разработка требований и проектирование</w:t>
      </w:r>
    </w:p>
    <w:p>
      <w:pPr>
        <w:ind w:firstLine="0"/>
        <w:jc w:val="center"/>
      </w:pPr>
      <w:r>
        <w:rPr>
          <w:b w:val="0"/>
          <w:sz w:val="28"/>
        </w:rPr>
        <w:t>Дисциплина «Основы программной инженерии»</w:t>
      </w:r>
    </w:p>
    <w:p>
      <w:pPr>
        <w:ind w:firstLine="0"/>
        <w:jc w:val="center"/>
      </w:pPr>
      <w:r>
        <w:rPr>
          <w:b w:val="0"/>
          <w:sz w:val="28"/>
        </w:rPr>
        <w:t>Вариант 36 — Информационная система супермаркета</w:t>
      </w:r>
    </w:p>
    <w:p>
      <w:r>
        <w:br/>
      </w:r>
    </w:p>
    <w:p>
      <w:pPr>
        <w:ind w:firstLine="0"/>
      </w:pPr>
      <w:r>
        <w:t>Группа: __________________________</w:t>
      </w:r>
    </w:p>
    <w:p>
      <w:pPr>
        <w:ind w:firstLine="0"/>
      </w:pPr>
      <w:r>
        <w:t>Выполнили: Кочетков Роман</w:t>
      </w:r>
    </w:p>
    <w:p>
      <w:pPr>
        <w:ind w:firstLine="0"/>
      </w:pPr>
      <w:r>
        <w:t>Энгельгард Кирилл</w:t>
      </w:r>
    </w:p>
    <w:p>
      <w:pPr>
        <w:ind w:firstLine="0"/>
      </w:pPr>
      <w:r>
        <w:t>Прохоров Максим</w:t>
      </w:r>
    </w:p>
    <w:p>
      <w:pPr>
        <w:ind w:firstLine="0"/>
      </w:pPr>
      <w:r>
        <w:t>Проверил: _________________________</w:t>
      </w:r>
    </w:p>
    <w:p>
      <w:pPr>
        <w:ind w:firstLine="0"/>
      </w:pPr>
      <w:r>
        <w:t>Дата и подпись: ___________________</w:t>
      </w:r>
    </w:p>
    <w:p>
      <w:pPr>
        <w:ind w:firstLine="0"/>
        <w:jc w:val="center"/>
      </w:pPr>
      <w:r>
        <w:rPr>
          <w:b w:val="0"/>
          <w:sz w:val="28"/>
        </w:rPr>
        <w:t>Санкт-Петербург 2026</w:t>
      </w:r>
    </w:p>
    <w:p>
      <w:r>
        <w:br w:type="page"/>
      </w:r>
    </w:p>
    <w:p>
      <w:pPr>
        <w:ind w:firstLine="0"/>
        <w:jc w:val="center"/>
      </w:pPr>
      <w:r>
        <w:rPr>
          <w:b/>
          <w:sz w:val="28"/>
        </w:rPr>
        <w:t>СОДЕРЖАНИЕ</w:t>
      </w:r>
    </w:p>
    <w:p>
      <w:pPr>
        <w:ind w:firstLine="0"/>
      </w:pPr>
      <w:fldSimple w:instr="TOC \o &quot;1-2&quot; \h \z \u" w:dirty="true" w:fldLock="false"/>
    </w:p>
    <w:p>
      <w:pPr>
        <w:pStyle w:val="Heading1"/>
      </w:pPr>
      <w:r>
        <w:t>ЗАДАНИЕ</w:t>
      </w:r>
    </w:p>
    <w:p>
      <w:r>
        <w:t>Разработать требования, модели предметной области и архитектуру информационной системы супермаркета.</w:t>
      </w:r>
    </w:p>
    <w:p>
      <w:pPr>
        <w:ind w:firstLine="0"/>
        <w:jc w:val="left"/>
      </w:pPr>
      <w:r>
        <w:t>Задание выдал: ____________________</w:t>
      </w:r>
    </w:p>
    <w:p>
      <w:pPr>
        <w:ind w:firstLine="0"/>
        <w:jc w:val="left"/>
      </w:pPr>
      <w:r>
        <w:t>Подпись: _________________________</w:t>
      </w:r>
    </w:p>
    <w:p>
      <w:pPr>
        <w:ind w:firstLine="0"/>
        <w:jc w:val="left"/>
      </w:pPr>
      <w:r>
        <w:t>Задание принял: ___________________</w:t>
      </w:r>
    </w:p>
    <w:p>
      <w:pPr>
        <w:ind w:firstLine="0"/>
        <w:jc w:val="left"/>
      </w:pPr>
      <w:r>
        <w:t>Дата: ____________________________</w:t>
      </w:r>
    </w:p>
    <w:p>
      <w:pPr>
        <w:pStyle w:val="Heading1"/>
        <w:jc w:val="center"/>
      </w:pPr>
      <w:r>
        <w:t>ВВЕДЕНИЕ</w:t>
      </w:r>
    </w:p>
    <w:p>
      <w:r>
        <w:t>Работа посвящена требованиям и проектированию информационной системы супермаркета по варианту 36. Концепция, ограничения, модели и архитектура задают проверяемый контракт будущей реализации. Исполняемый прикладной код на этом этапе не разрабатывается.</w:t>
      </w:r>
    </w:p>
    <w:p>
      <w:r>
        <w:t>Основание выполнения — соответствующая методичка [1]. Порядок оформления сверяется с нормативной документацией ГУАП [2].</w:t>
      </w:r>
    </w:p>
    <w:p>
      <w:pPr>
        <w:pStyle w:val="Heading1"/>
      </w:pPr>
      <w:r>
        <w:t>1 Концепция и границы информационной системы супермаркета</w:t>
      </w:r>
    </w:p>
    <w:p>
      <w:pPr>
        <w:pStyle w:val="Heading2"/>
      </w:pPr>
      <w:r>
        <w:t>1.1 Описание предметной области</w:t>
      </w:r>
    </w:p>
    <w:p>
      <w:r>
        <w:t>Рассматривается один супермаркет с общим каталогом и остатком товаров, несколькими рабочими местами кассиров и рабочим местом менеджера. Менеджер ведёт карточки товаров, задаёт розничные цены, регистрирует поступления и корректировки остатка. Кассир находит товар по названию или полному штрихкоду, формирует чек и подтверждает получение наличных. Аудитор просматривает каталог и историю продаж.</w:t>
      </w:r>
    </w:p>
    <w:p>
      <w:r>
        <w:t>Объект автоматизации — согласованная обработка товарных данных и кассовых продаж. В исходном организационном сценарии каталог и складской учёт ведутся раздельно. Кассир может видеть устаревшую цену, а две кассы — одновременно считать доступным последний экземпляр товара. Это проектная постановка проблемы, а не результат проведённого обследования реального магазина.</w:t>
      </w:r>
    </w:p>
    <w:p>
      <w:r>
        <w:t>Внутренние участники: менеджер, кассир, аудитор, администратор БД. Покупатель участвует в бизнес-процессе, но не входит в интерфейс сотрудников. Банк и фискальный оператор находятся за границами учебного продукта. Учебный чек фиксирует внутреннюю продажу и не является интеграцией с кассовым фискальным устройством.</w:t>
      </w:r>
    </w:p>
    <w:p>
      <w:pPr>
        <w:pStyle w:val="Heading2"/>
      </w:pPr>
      <w:r>
        <w:t>1.2 Цель и постановка задачи</w:t>
      </w:r>
    </w:p>
    <w:p>
      <w:r>
        <w:t>Цель — создать единый источник товарных данных и обеспечить согласованность чека с движением остатка при параллельной работе кассиров.</w:t>
      </w:r>
    </w:p>
    <w:p>
      <w:r>
        <w:t>Задачи проектирования:</w:t>
      </w:r>
    </w:p>
    <w:p>
      <w:pPr>
        <w:ind w:firstLine="0" w:left="283"/>
      </w:pPr>
      <w:r>
        <w:t>1. Зафиксировать словарь сущностей, диапазоны значений и правила изменения данных.</w:t>
      </w:r>
    </w:p>
    <w:p>
      <w:pPr>
        <w:ind w:firstLine="0" w:left="283"/>
      </w:pPr>
      <w:r>
        <w:t>2. Определить пользовательские сценарии и доступ к ним по ролям.</w:t>
      </w:r>
    </w:p>
    <w:p>
      <w:pPr>
        <w:ind w:firstLine="0" w:left="283"/>
      </w:pPr>
      <w:r>
        <w:t>3. Исключить отрицательные остатки, повторное списание и изменение завершённых чеков.</w:t>
      </w:r>
    </w:p>
    <w:p>
      <w:pPr>
        <w:ind w:firstLine="0" w:left="283"/>
      </w:pPr>
      <w:r>
        <w:t>4. Спроектировать поиск и ограниченную постраничную выдачу для каталога около 100 тысяч объектов.</w:t>
      </w:r>
    </w:p>
    <w:p>
      <w:pPr>
        <w:ind w:firstLine="0" w:left="283"/>
      </w:pPr>
      <w:r>
        <w:t>5. Разделить интерфейс, бизнес-логику и хранение данных в клиент-серверной архитектуре.</w:t>
      </w:r>
    </w:p>
    <w:p>
      <w:r>
        <w:t>Ожидаемый эффект: кассир использует актуальный единый каталог; цена и наименование сохраняются в строке чека; продажа либо целиком фиксируется вместе со списанием, либо не изменяет состояние БД. Измеримые критерии приёмки содержатся в спецификации.</w:t>
      </w:r>
    </w:p>
    <w:p>
      <w:pPr>
        <w:pStyle w:val="Heading3"/>
      </w:pPr>
      <w:r>
        <w:t>1.2.1 Границы первой версии</w:t>
      </w:r>
    </w:p>
    <w:p>
      <w:r>
        <w:t>Включаются: вход сотрудников, каталог, поиск, управление карточками, архивирование, корректировка остатков с основанием, черновик чека, оплата наличными, отмена черновика, просмотр истории и настройка инфраструктуры. Рабочая единица количества — штука; фасованные продукты продаются упаковками.</w:t>
      </w:r>
    </w:p>
    <w:p>
      <w:r>
        <w:t>За границами версии: весовые товары с дробным количеством, возвраты оплаченных чеков, скидочные программы, эквайринг, фискализация, поставщики и закупочные заказы, учёт партий и сроков годности, несколько магазинов, автономная касса при потере сети. Такие расширения требуют изменения требований и схемы данных.</w:t>
      </w:r>
    </w:p>
    <w:p>
      <w:pPr>
        <w:pStyle w:val="Heading2"/>
      </w:pPr>
      <w:r>
        <w:t>1.3 Словарь данных предметной области</w:t>
      </w:r>
    </w:p>
    <w:p>
      <w:r>
        <w:t>Запись составляется знаком +; необязательное поле заключено в круглые скобки; 1:100{Строка чека} означает от одной до ста строк. Примитивы таблицы 1 определяют диапазоны структур таблицы 2.</w:t>
      </w:r>
    </w:p>
    <w:p>
      <w:pPr>
        <w:keepNext/>
      </w:pPr>
      <w:r>
        <w:t>Таблица 1 — Элементы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Элемент</w:t>
            </w:r>
          </w:p>
        </w:tc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Значение и тип</w:t>
            </w:r>
          </w:p>
        </w:tc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Идентификатор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Положительное целое, BIGINT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Генерируется БД; в API не больше 2^53−1 для точного JS Number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Штрихкод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Строка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8–14 ASCII-цифр; уникален; ведущие нули сохраняются; контрольная цифра в этой версии не проверяется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Название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Строка Unicode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2–160 символов после удаления пробелов по краям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Категория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Строка Unicode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2–60 символов; текстовое поле справочника карточек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Цена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Десятичное число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0,01–999999,99 руб.; максимум два знака после запятой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Остаток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Целое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0–1 000 000 000 шт.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Количество в строке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Целое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1–10 000 шт.; один товар один раз в чеке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Изменение остатка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Целое со знаком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Для ручной операции −1 000 000…1 000 000, кроме 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Основание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Строка Unicode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5–200 символов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Статус чека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Перечисление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draft, paid, cancelled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Время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Дата и время с часовым поясом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Хранение timestamptz; показ в локальном времени браузера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Версия карточки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Положительное целое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Увеличивается при изменении карточки или остатка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Логин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Строка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3–50 символов; первая латинская строчная буква, далее буквы, цифры, _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Роль сотрудника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Перечисление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manager, cashier, auditor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Ключ запроса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UUID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Идентифицирует одну попытку создания чека, включая повторы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Хеш содержимого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SHA-256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Позволяет обнаружить повтор ключа с другой корзиной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Хеш пароля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Строка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Алгоритм scrypt, индивидуальная соль; открытый пароль не хранится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Сессия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Случайный токен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В БД хранится только SHA-256 токена; срок жизни 8 часов</w:t>
            </w:r>
          </w:p>
        </w:tc>
      </w:tr>
    </w:tbl>
    <w:p>
      <w:pPr>
        <w:spacing w:after="60"/>
      </w:pPr>
    </w:p>
    <w:p>
      <w:pPr>
        <w:keepNext/>
      </w:pPr>
      <w:r>
        <w:t>Таблица 2 — Структуры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Структура</w:t>
            </w:r>
          </w:p>
        </w:tc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Состав</w:t>
            </w:r>
          </w:p>
        </w:tc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Товар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ID + Штрихкод + Название + Категория + Цена + Остаток + Активность + Версия + Время изменения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Единица каталога и складского учёта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Сотрудник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ID + Логин + Отображаемое имя + Хеш пароля + Роль + Активность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Идентификация и разграничение доступа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Чек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ID + Ключ запроса + Хеш содержимого + ID кассира + Статус + Время создания + (Время оплаты) + 1:100{Строка чека}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Документ продажи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Строка чека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ID чека + ID товара + Снимок названия + Снимок штрихкода + Количество + Снимок цены + Сумма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Исторически неизменный состав покупки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Движение остатка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ID + ID товара + ID сотрудника + (ID чека) + Изменение остатка + Основание + Время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Объяснение увеличения или уменьшения остатка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Сеанс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Хеш токена + ID сотрудника + Время истечения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Временный доступ к API</w:t>
            </w:r>
          </w:p>
        </w:tc>
      </w:tr>
    </w:tbl>
    <w:p>
      <w:pPr>
        <w:spacing w:after="60"/>
      </w:pPr>
    </w:p>
    <w:p>
      <w:r>
        <w:t>Итог чека определяется как сумма произведений количества на зафиксированную цену. Он не поступает от браузера и не является самостоятельно редактируемым реквизитом.</w:t>
      </w:r>
    </w:p>
    <w:p>
      <w:pPr>
        <w:pStyle w:val="Heading2"/>
      </w:pPr>
      <w:r>
        <w:t>1.4 Нежелательные эффекты и конфликты</w:t>
      </w:r>
    </w:p>
    <w:p>
      <w:r>
        <w:t>Обозначения из методички: + — конфликт, − — отсутствие конфликта, · — связь не рассматривается. Сравниваются подсистемы исходного процесса.</w:t>
      </w:r>
    </w:p>
    <w:p>
      <w:pPr>
        <w:keepNext/>
      </w:pPr>
      <w:r>
        <w:t>Таблица 3 — Матрица взаимодействий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/>
          <w:cantSplit/>
        </w:trPr>
        <w:tc>
          <w:tcPr>
            <w:tcW w:type="dxa" w:w="1559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Элемент</w:t>
            </w:r>
          </w:p>
        </w:tc>
        <w:tc>
          <w:tcPr>
            <w:tcW w:type="dxa" w:w="1559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Каталог цен</w:t>
            </w:r>
          </w:p>
        </w:tc>
        <w:tc>
          <w:tcPr>
            <w:tcW w:type="dxa" w:w="1559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Касса А</w:t>
            </w:r>
          </w:p>
        </w:tc>
        <w:tc>
          <w:tcPr>
            <w:tcW w:type="dxa" w:w="1559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Касса Б</w:t>
            </w:r>
          </w:p>
        </w:tc>
        <w:tc>
          <w:tcPr>
            <w:tcW w:type="dxa" w:w="1559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Остаток</w:t>
            </w:r>
          </w:p>
        </w:tc>
        <w:tc>
          <w:tcPr>
            <w:tcW w:type="dxa" w:w="1559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История</w:t>
            </w:r>
          </w:p>
        </w:tc>
      </w:tr>
      <w:tr>
        <w:trPr>
          <w:cantSplit/>
        </w:trPr>
        <w:tc>
          <w:tcPr>
            <w:tcW w:type="dxa" w:w="15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Каталог цен</w:t>
            </w:r>
          </w:p>
        </w:tc>
        <w:tc>
          <w:tcPr>
            <w:tcW w:type="dxa" w:w="15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  <w:tc>
          <w:tcPr>
            <w:tcW w:type="dxa" w:w="15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  <w:tc>
          <w:tcPr>
            <w:tcW w:type="dxa" w:w="15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−</w:t>
            </w:r>
          </w:p>
        </w:tc>
        <w:tc>
          <w:tcPr>
            <w:tcW w:type="dxa" w:w="15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</w:tr>
      <w:tr>
        <w:trPr>
          <w:cantSplit/>
        </w:trPr>
        <w:tc>
          <w:tcPr>
            <w:tcW w:type="dxa" w:w="1559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Касса А</w:t>
            </w:r>
          </w:p>
        </w:tc>
        <w:tc>
          <w:tcPr>
            <w:tcW w:type="dxa" w:w="1559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59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59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  <w:tc>
          <w:tcPr>
            <w:tcW w:type="dxa" w:w="1559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  <w:tc>
          <w:tcPr>
            <w:tcW w:type="dxa" w:w="1559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</w:tr>
      <w:tr>
        <w:trPr>
          <w:cantSplit/>
        </w:trPr>
        <w:tc>
          <w:tcPr>
            <w:tcW w:type="dxa" w:w="15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Касса Б</w:t>
            </w:r>
          </w:p>
        </w:tc>
        <w:tc>
          <w:tcPr>
            <w:tcW w:type="dxa" w:w="15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  <w:tc>
          <w:tcPr>
            <w:tcW w:type="dxa" w:w="15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</w:tr>
      <w:tr>
        <w:trPr>
          <w:cantSplit/>
        </w:trPr>
        <w:tc>
          <w:tcPr>
            <w:tcW w:type="dxa" w:w="1559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Остаток</w:t>
            </w:r>
          </w:p>
        </w:tc>
        <w:tc>
          <w:tcPr>
            <w:tcW w:type="dxa" w:w="1559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59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59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59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59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</w:tr>
      <w:tr>
        <w:trPr>
          <w:cantSplit/>
        </w:trPr>
        <w:tc>
          <w:tcPr>
            <w:tcW w:type="dxa" w:w="15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История</w:t>
            </w:r>
          </w:p>
        </w:tc>
        <w:tc>
          <w:tcPr>
            <w:tcW w:type="dxa" w:w="15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</w:tr>
    </w:tbl>
    <w:p>
      <w:pPr>
        <w:spacing w:after="60"/>
      </w:pPr>
    </w:p>
    <w:p>
      <w:pPr>
        <w:keepNext/>
      </w:pPr>
      <w:r>
        <w:t>Таблица 4 — Причины и способы устранения конфликтов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Код</w:t>
            </w:r>
          </w:p>
        </w:tc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Конфликт и нежелательный эффект</w:t>
            </w:r>
          </w:p>
        </w:tc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Проектное решение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C1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Каталог и касса: цена изменилась во время подбора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Браузер показывает предварительный итог; сервер фиксирует цену при создании черновика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C2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Две кассы и общий остаток: продажа последнего экземпляра дважды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Блокировка товарных строк в порядке ID и повторная проверка в транзакции оплаты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C3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Каталог и история: изменение карточки меняет прошлый чек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Снимки реквизитов в строках чека; запрет изменения завершённого документа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C4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Касса и история: потерян ответ сети, кассир повторил действие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Уникальный ключ создания; повтор оплаты возвращает существующий результат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C5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Остаток и история: списание прошло, а чек не сохранился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Чек, движения и остатки меняются в одной транзакции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C6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Скорость поиска и объём данных: загрузка 100 тысяч карточек перегружает браузер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Индексы, серверный поиск и курсорная пагинация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C7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Простота доступа и целостность: кассир меняет цены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Аутентификация и проверка роли на сервере; ограничения роли БД</w:t>
            </w:r>
          </w:p>
        </w:tc>
      </w:tr>
    </w:tbl>
    <w:p>
      <w:pPr>
        <w:spacing w:after="60"/>
      </w:pPr>
    </w:p>
    <w:p>
      <w:pPr>
        <w:pStyle w:val="Heading2"/>
      </w:pPr>
      <w:r>
        <w:t>1.5 Варианты использования</w:t>
      </w:r>
    </w:p>
    <w:p>
      <w:r>
        <w:t>UC01 — войти и завершить сеанс; UC02 — найти и просмотреть товар; UC03 — вести карточку и архив; UC04 — изменить остаток; UC05 — сформировать чек; UC06 — подтвердить оплату наличными; UC07 — отменить черновик; UC08 — просмотреть историю и состав чека; UC09 — администрировать пользователей БД и резервное копирование.</w:t>
      </w:r>
    </w:p>
    <w:p>
      <w:r>
        <w:t>UC02 доступен всем сотрудникам; UC03–04 — менеджеру; UC05–07 — кассиру и менеджеру; UC08 ограничивает кассира собственными чеками, менеджеру и аудитору доступна вся история. UC09 выполняет администратор БД вне пользовательского Web-интерфейса. Модель UC — рисунок 1 в DOMAIN_MODEL.md, CRUD — таблица 4 в REQUIREMENTS.md.</w:t>
      </w:r>
    </w:p>
    <w:p>
      <w:pPr>
        <w:pStyle w:val="Heading2"/>
      </w:pPr>
      <w:r>
        <w:t>1.6 Дерево функций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ИС супермаркета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├── F1 Управление доступом (UC01)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│   ├── Проверить пароль и активность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│   └── Выдать, проверить и отозвать сеанс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├── F2 Ведение товарных данных (UC02–04)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│   ├── Найти товар и перейти к следующей странице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│   ├── Создать или изменить карточку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│   ├── Архивировать карточку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│   └── Зарегистрировать движение остатка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├── F3 Обслуживание продажи (UC05–07)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│   ├── Сформировать корзину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│   ├── Зафиксировать цены в черновике чека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│   ├── Проверить остатки и подтвердить оплату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│   └── Отменить неоплаченный документ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├── F4 Контроль продаж (UC08)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│   ├── Выдать историю по правам сотрудника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│   └── Показать строки, статус и итог чека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└── F5 Эксплуатация (UC09)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├── Проверить доступность компонентов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├── Управлять пользователями и правами БД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└── Создать и проверить резервную копию</w:t>
      </w:r>
    </w:p>
    <w:p>
      <w:r>
        <w:t>Каждый лист связан с вариантом использования. F2 устраняет C1/C6, F3 — C2/C4/C5, F4 — C3, F1/F5 — C7 и эксплуатационные риски.</w:t>
      </w:r>
    </w:p>
    <w:p>
      <w:pPr>
        <w:pStyle w:val="Heading2"/>
      </w:pPr>
      <w:r>
        <w:t>1.7 Заключение и выводы</w:t>
      </w:r>
    </w:p>
    <w:p>
      <w:pPr>
        <w:ind w:firstLine="0" w:left="283"/>
      </w:pPr>
      <w:r>
        <w:t>1. Центральная сущность продажи — чек со строками, а не отдельная запись товара.</w:t>
      </w:r>
    </w:p>
    <w:p>
      <w:pPr>
        <w:ind w:firstLine="0" w:left="283"/>
      </w:pPr>
      <w:r>
        <w:t>2. Историческую цену необходимо отделить от текущей цены каталога.</w:t>
      </w:r>
    </w:p>
    <w:p>
      <w:pPr>
        <w:ind w:firstLine="0" w:left="283"/>
      </w:pPr>
      <w:r>
        <w:t>3. Управление остатком и фиксация оплаты должны иметь общую транзакционную границу.</w:t>
      </w:r>
    </w:p>
    <w:p>
      <w:pPr>
        <w:ind w:firstLine="0" w:left="283"/>
      </w:pPr>
      <w:r>
        <w:t>4. Объём 100 тысяч объектов требует ограничения выдачи, но сам по себе не обосновывает распределённую БД.</w:t>
      </w:r>
    </w:p>
    <w:p>
      <w:pPr>
        <w:ind w:firstLine="0" w:left="283"/>
      </w:pPr>
      <w:r>
        <w:t>5. Границы учебной версии позволяют проверить основные правила без внешних платёжных и фискальных интеграций.</w:t>
      </w:r>
    </w:p>
    <w:p>
      <w:pPr>
        <w:pStyle w:val="Heading1"/>
      </w:pPr>
      <w:r>
        <w:t>2 Спецификация требований к информационной системе супермаркета</w:t>
      </w:r>
    </w:p>
    <w:p>
      <w:r>
        <w:t>Версия требований 1.0. Предметная область — вариант 36. Статус документа на этапе ЛР №1: проектная спецификация. Приоритет Must обязателен для версии, Should — целевой критерий качества. Стабильность «высокая» относится к бизнес-правилам, «средняя» — к численным целям и интерфейсу.</w:t>
      </w:r>
    </w:p>
    <w:p>
      <w:r>
        <w:t>Требования структурированы по заданию лабораторной работы и сформулированы как проверяемые результаты для стейкхолдеров и системы; дополнительный ориентир по качеству требований — ISO/IEC/IEEE 29148:2018 [3].</w:t>
      </w:r>
    </w:p>
    <w:p>
      <w:pPr>
        <w:pStyle w:val="Heading2"/>
      </w:pPr>
      <w:r>
        <w:t>2.1 Бизнес-требования</w:t>
      </w:r>
    </w:p>
    <w:p>
      <w:pPr>
        <w:keepNext/>
      </w:pPr>
      <w:r>
        <w:t>Таблица 1 — Требования к системе в целом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Требование</w:t>
            </w:r>
          </w:p>
        </w:tc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Приоритет и проверка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BR01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Общие каталог, остатки и история одного супермаркета; три уровня: Web-клиент, сервер приложений, БД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Must, высокая; архитектурная проверка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BR02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Обычный режим — подключение к серверу; при отказе сети новые продажи не подтверждаются локально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Must, высокая; отключение сети при оплате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BR03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Пользователи продукта: кассир, менеджер, аудитор; эксплуатация — администратор БД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Must, высокая; таблица прав и отрицательные проверки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BR04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В группе разработки три участника; распределение ролей меняется по лабораторным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Must, высокая; DEFENSE.md и план команды ЛР №2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BR05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Подтверждённая продажа сохраняет исторические реквизиты и не списывает остаток повторно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Must, высокая; повтор и конкурентные запросы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BR06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Работа на стационарной кассе через браузер; интерфейс также доступен с узкого экрана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Must, средняя; 390, 768 и 1440 px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BR07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Резервное копирование администратором и проверяемое восстановление в отдельную БД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Must, высокая; протокол восстановления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BR08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Обслуживание и обновление по версиям; перед изменением схемы — резервная копия; хранение кода в Git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Must, высокая; регламент выпуска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BR09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Секреты вне Git; браузер не получает учётные данные PostgreSQL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Must, высокая; анализ сборки и конфигурации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BR10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Открытые форматы обмена JSON/HTTP, SQL и текстовые исходники моделей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Must, высокая; проверка интерфейсов</w:t>
            </w:r>
          </w:p>
        </w:tc>
      </w:tr>
    </w:tbl>
    <w:p>
      <w:pPr>
        <w:spacing w:after="60"/>
      </w:pPr>
    </w:p>
    <w:p>
      <w:r>
        <w:t>Транспортабельность для подвижных АС не применяется: система стационарная. Специальная защита от физических воздействий обеспечивается условиями размещения оборудования, ИБП и копиями; аппаратная сертификация не входит в проект. Патентное исследование не проводилось; при распространении проверяются лицензии зависимостей. Учебная демонстрация не заявляет соответствие требованиям реальной фискализации.</w:t>
      </w:r>
    </w:p>
    <w:p>
      <w:pPr>
        <w:pStyle w:val="Heading2"/>
      </w:pPr>
      <w:r>
        <w:t>2.2 Функциональные требования</w:t>
      </w:r>
    </w:p>
    <w:p>
      <w:pPr>
        <w:keepNext/>
      </w:pPr>
      <w:r>
        <w:t>Таблица 2 — Проверяемые функции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ID / UC</w:t>
            </w:r>
          </w:p>
        </w:tc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Обязательное поведение</w:t>
            </w:r>
          </w:p>
        </w:tc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Критерий приёмки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FR01 / UC01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Вход по паролю, проверка активности, срок сеанса 8 ч, выход с отзывом токена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Неверный пароль и истёкший токен дают 401; отозванный токен не работает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FR02 / UC02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Поиск подстроки названия от 3 символов; полный штрихкод; точный фильтр категории; выдача по ID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limit 1–100; за пределом 422; одинаковый ID не повторяется при последовательном обходе стабильного набора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FR03 / UC03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Создание и изменение карточки менеджером; архивирование вместо физического удаления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Дубликат штрихкода 409; кассир получает 403; устаревшая версия 409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FR04 / UC04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Корректировка остатка со знаком и обязательным основанием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При нехватке остатка 409; успешная операция создаёт движение и меняет остаток атомарно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FR05 / UC05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Создание чека с 1–100 различными товарами и снимками цен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Пустой состав, повтор товара, дробное количество и неизвестные поля дают 422; отсутствующий товар 409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FR06 / UC06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Оплата наличными подтверждается сотрудником; цены берутся из строк чека; все остатки проверяются повторно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В конкурентной продаже последнего товара успешно завершается ровно одна оплата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FR07 / UC07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Отмена только draft; повтор отмены cancelled возвращает тот же результат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Оплаченный чек отменить нельзя: 409; остаток при отмене не меняется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FR08 / UC08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Список и детализация чеков с ограничением доступа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Кассир видит свои чеки; чужой ID возвращает 404; аудитор не может оплатить чек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FR09 / UC05–06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Идемпотентность создания и оплаты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Повтор UUID с тем же составом возвращает тот же чек; другой состав/автор — 409; повтор pay не создаёт второе движение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FR10 / UC09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Эксплуатационная проверка API и соединения с БД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Health возвращает ok только при доступной БД</w:t>
            </w:r>
          </w:p>
        </w:tc>
      </w:tr>
    </w:tbl>
    <w:p>
      <w:pPr>
        <w:spacing w:after="60"/>
      </w:pPr>
    </w:p>
    <w:p>
      <w:pPr>
        <w:pStyle w:val="Heading3"/>
      </w:pPr>
      <w:r>
        <w:t>2.2.1 Ограничения и бизнес-правила</w:t>
      </w:r>
    </w:p>
    <w:p>
      <w:pPr>
        <w:ind w:firstLine="0" w:left="283"/>
      </w:pPr>
      <w:r>
        <w:t>1. R01: price &gt; 0; деньги вычисляются десятичной арифметикой. В JSON суммы передаются строками, чтобы не зависеть от точности IEEE-754.</w:t>
      </w:r>
    </w:p>
    <w:p>
      <w:pPr>
        <w:ind w:firstLine="0" w:left="283"/>
      </w:pPr>
      <w:r>
        <w:t>2. R02: остаток и количество целые; stock ≥ 0; весовой товар предварительно фасуется и учитывается упаковками.</w:t>
      </w:r>
    </w:p>
    <w:p>
      <w:pPr>
        <w:ind w:firstLine="0" w:left="283"/>
      </w:pPr>
      <w:r>
        <w:t>3. R03: один штрихкод соответствует одной карточке, включая архив; повторное использование кода другой карточкой запрещено.</w:t>
      </w:r>
    </w:p>
    <w:p>
      <w:pPr>
        <w:ind w:firstLine="0" w:left="283"/>
      </w:pPr>
      <w:r>
        <w:t>4. R04: черновик не резервирует товар. Между созданием и оплатой наличие может измениться; оплата повторно проверяет остаток и активность.</w:t>
      </w:r>
    </w:p>
    <w:p>
      <w:pPr>
        <w:ind w:firstLine="0" w:left="283"/>
      </w:pPr>
      <w:r>
        <w:t>5. R05: цена фиксируется при создании черновика и сохраняется до завершения; последующие изменения каталога не меняют этот документ.</w:t>
      </w:r>
    </w:p>
    <w:p>
      <w:pPr>
        <w:ind w:firstLine="0" w:left="283"/>
      </w:pPr>
      <w:r>
        <w:t>6. R06: total = Σ(quantity × unit_price); клиент не передаёт итог, цену строки, статус, автора и время оплаты.</w:t>
      </w:r>
    </w:p>
    <w:p>
      <w:pPr>
        <w:ind w:firstLine="0" w:left="283"/>
      </w:pPr>
      <w:r>
        <w:t>7. R07: оплата, движения и уменьшение остатков составляют одну транзакцию; при любой ошибке всё откатывается.</w:t>
      </w:r>
    </w:p>
    <w:p>
      <w:pPr>
        <w:ind w:firstLine="0" w:left="283"/>
      </w:pPr>
      <w:r>
        <w:t>8. R08: допустимы только draft → paid и draft → cancelled; завершённые документы неизменны. Повтор запроса завершения читает существующий результат.</w:t>
      </w:r>
    </w:p>
    <w:p>
      <w:pPr>
        <w:ind w:firstLine="0" w:left="283"/>
      </w:pPr>
      <w:r>
        <w:t>9. R09: строки чека не удаляются и не редактируются через публичный API; для исправления состава черновик отменяют и создают новый.</w:t>
      </w:r>
    </w:p>
    <w:p>
      <w:pPr>
        <w:ind w:firstLine="0" w:left="283"/>
      </w:pPr>
      <w:r>
        <w:t>10. R10: карточки архивируются; ссылки из чеков и движений сохраняются. Физическое удаление исторических данных не является пользовательской функцией.</w:t>
      </w:r>
    </w:p>
    <w:p>
      <w:pPr>
        <w:ind w:firstLine="0" w:left="283"/>
      </w:pPr>
      <w:r>
        <w:t>11. R11: ключ создания уникален; цена не входит в клиентский запрос, хеш определяется по отсортированным ID и количествам. Ключ повторяется при неизвестном результате сетевого запроса.</w:t>
      </w:r>
    </w:p>
    <w:p>
      <w:pPr>
        <w:ind w:firstLine="0" w:left="283"/>
      </w:pPr>
      <w:r>
        <w:t>12. R12: кассир работает со своими чеками, менеджер — со всеми, аудитор выполняет только чтение. Администратор БД обслуживает пользователей вне API.</w:t>
      </w:r>
    </w:p>
    <w:p>
      <w:pPr>
        <w:pStyle w:val="Heading3"/>
      </w:pPr>
      <w:r>
        <w:t>2.2.2 Внешние интерфейсы</w:t>
      </w:r>
    </w:p>
    <w:p>
      <w:r>
        <w:t>Браузер обращается к серверу по HTTP/JSON под /api, в эксплуатации — через HTTPS на внешнем доверенном прокси. API использует Pydantic для схем, PostgreSQL — для транзакций и ограничений. Штрихкод вводится с клавиатуры; USB-сканер может работать как клавиатурное устройство. В первой версии автоматическое управление устройствами не требуется.</w:t>
      </w:r>
    </w:p>
    <w:p>
      <w:r>
        <w:t>Ошибки: 401 — нет действующего сеанса; 403 — нет права; 404 — объект отсутствует или недоступен; 409 — конфликт данных/состояния; 422 — ошибка входных данных; 503 — временная недоступность. Сообщения не раскрывают SQL и пароли. Полный каталог не загружается для локальной фильтрации.</w:t>
      </w:r>
    </w:p>
    <w:p>
      <w:pPr>
        <w:pStyle w:val="Heading2"/>
      </w:pPr>
      <w:r>
        <w:t>2.3 Нефункциональные требования</w:t>
      </w:r>
    </w:p>
    <w:p>
      <w:pPr>
        <w:keepNext/>
      </w:pPr>
      <w:r>
        <w:t>Таблица 3 — Качество и условия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Цель</w:t>
            </w:r>
          </w:p>
        </w:tc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Измерение и границы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NFR01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Каталог 100 000 товаров, не менее 100 000 чеков с несколькими строками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Синтетический набор в отдельной тестовой БД; реальные объёмы индексов фиксируются отдельно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NFR02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p95 GET каталога ≤500 мс при 20 конкурентных пользователях после прогрева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Цель для VM 4 vCPU, 8 ГБ RAM, SSD; отдельное измерение полного API, а не только SQL EXPLAIN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NFR03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p95 оплаты ≤1 с без конкуренции за один товар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Цель для того же стенда; конфликтующие продажи могут ожидать блокировку до 3 с и получить 503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NFR04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Атомарность продаж и отсутствие отрицательных остатков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Обязательный интеграционный тест на настоящем PostgreSQL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NFR05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Ограниченное потребление ресурсов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Максимум 100 строк выдачи и 100 строк чека; пул до 10 соединений на процесс API; тело HTTP до 128 КБ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NFR06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Разграничение доступа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Отрицательные проверки всех изменяющих маршрутов; роль API без DDL и без удаления товаров/чеков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NFR07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Сохранность при аварии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Транзакции PostgreSQL/WAL; целевые RPO 24 ч, RTO 60 мин при ежедневной копии и проведённом восстановлении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NFR08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Воспроизводимость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Зафиксированные зависимости Python/JS, контейнерные файлы и сценарии запуска; изменение версии проходит проверку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NFR09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Доступность интерфейса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Клавиатура, подписанные поля, видимый фокус, состояния загрузки/ошибки/пустого результата, отсутствие выхода содержимого за экран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NFR10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Наблюдаемость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HTTP-журналы и health; секреты и тело входа не пишутся в журналы; постоянные ошибки исследуются по логам контейнера</w:t>
            </w:r>
          </w:p>
        </w:tc>
      </w:tr>
    </w:tbl>
    <w:p>
      <w:pPr>
        <w:spacing w:after="60"/>
      </w:pPr>
    </w:p>
    <w:p>
      <w:r>
        <w:t>NFR02–03 и RPO/RTO — цели приёмки, не гарантии и не результаты измерений на этапе проектирования. В учебной конфигурации один экземпляр БД и API; высокая доступность и автоматическое переключение не заявлены.</w:t>
      </w:r>
    </w:p>
    <w:p>
      <w:pPr>
        <w:pStyle w:val="Heading3"/>
      </w:pPr>
      <w:r>
        <w:t>2.3.1 Информационные требования к UI</w:t>
      </w:r>
    </w:p>
    <w:p>
      <w:r>
        <w:t>UI01: карточка показывает название, штрихкод, категорию, цену за штуку, остаток и доступность добавления. UI02: корзина показывает название, количество, цену и предварительный итог; после создания чека отображается серверная сумма. UI03: история показывает ID, время, статус; детализация — строки и итог. UI04: профиль показывает сотрудника и роль; пароль не отображается открытым текстом.</w:t>
      </w:r>
    </w:p>
    <w:p>
      <w:pPr>
        <w:pStyle w:val="Heading3"/>
      </w:pPr>
      <w:r>
        <w:t>2.3.2 Функциональные требования к UI</w:t>
      </w:r>
    </w:p>
    <w:p>
      <w:r>
        <w:t>UI05: поиск имеет задержку 300 мс и отменяет устаревший запрос; ответ старого запроса не заменяет новый. UI06: переход вперёд/назад не накапливает весь каталог. UI07: во время отправки кнопка блокируется; при неизвестном исходе создания корзина фиксируется до повтора с тем же ключом. UI08: подтверждение наличных явно отделено от формирования чека. UI09: диалог редактирования управляет фокусом и закрывается Escape; ошибки не очищают введённые поля. UI10: PropTypes проверяют контракты компонентов при разработке, а проверка ответа API действует также в production.</w:t>
      </w:r>
    </w:p>
    <w:p>
      <w:pPr>
        <w:pStyle w:val="Heading2"/>
      </w:pPr>
      <w:r>
        <w:t>2.4 Матрица CRUD</w:t>
      </w:r>
    </w:p>
    <w:p>
      <w:pPr>
        <w:keepNext/>
      </w:pPr>
      <w:r>
        <w:t>Таблица 4 — Использование сущностей сценариями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  <w:cantSplit/>
        </w:trPr>
        <w:tc>
          <w:tcPr>
            <w:tcW w:type="dxa" w:w="1336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Сценарий</w:t>
            </w:r>
          </w:p>
        </w:tc>
        <w:tc>
          <w:tcPr>
            <w:tcW w:type="dxa" w:w="1336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Товар</w:t>
            </w:r>
          </w:p>
        </w:tc>
        <w:tc>
          <w:tcPr>
            <w:tcW w:type="dxa" w:w="1336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Сотрудник</w:t>
            </w:r>
          </w:p>
        </w:tc>
        <w:tc>
          <w:tcPr>
            <w:tcW w:type="dxa" w:w="1336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Сеанс</w:t>
            </w:r>
          </w:p>
        </w:tc>
        <w:tc>
          <w:tcPr>
            <w:tcW w:type="dxa" w:w="1336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Чек</w:t>
            </w:r>
          </w:p>
        </w:tc>
        <w:tc>
          <w:tcPr>
            <w:tcW w:type="dxa" w:w="1336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Строка</w:t>
            </w:r>
          </w:p>
        </w:tc>
        <w:tc>
          <w:tcPr>
            <w:tcW w:type="dxa" w:w="1336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Движение</w:t>
            </w:r>
          </w:p>
        </w:tc>
      </w:tr>
      <w:tr>
        <w:trPr>
          <w:cantSplit/>
        </w:trPr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UC01 Вход/выход</w:t>
            </w:r>
          </w:p>
        </w:tc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C R D</w:t>
            </w:r>
          </w:p>
        </w:tc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336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UC02 Каталог</w:t>
            </w:r>
          </w:p>
        </w:tc>
        <w:tc>
          <w:tcPr>
            <w:tcW w:type="dxa" w:w="1336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336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336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336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336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336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UC03 Карточки</w:t>
            </w:r>
          </w:p>
        </w:tc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C R U</w:t>
            </w:r>
          </w:p>
        </w:tc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336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UC04 Остаток</w:t>
            </w:r>
          </w:p>
        </w:tc>
        <w:tc>
          <w:tcPr>
            <w:tcW w:type="dxa" w:w="1336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 U</w:t>
            </w:r>
          </w:p>
        </w:tc>
        <w:tc>
          <w:tcPr>
            <w:tcW w:type="dxa" w:w="1336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336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336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336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336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C</w:t>
            </w:r>
          </w:p>
        </w:tc>
      </w:tr>
      <w:tr>
        <w:trPr>
          <w:cantSplit/>
        </w:trPr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UC05 Черновик</w:t>
            </w:r>
          </w:p>
        </w:tc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C R</w:t>
            </w:r>
          </w:p>
        </w:tc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C R</w:t>
            </w:r>
          </w:p>
        </w:tc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336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UC06 Оплата</w:t>
            </w:r>
          </w:p>
        </w:tc>
        <w:tc>
          <w:tcPr>
            <w:tcW w:type="dxa" w:w="1336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 U</w:t>
            </w:r>
          </w:p>
        </w:tc>
        <w:tc>
          <w:tcPr>
            <w:tcW w:type="dxa" w:w="1336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336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336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 U</w:t>
            </w:r>
          </w:p>
        </w:tc>
        <w:tc>
          <w:tcPr>
            <w:tcW w:type="dxa" w:w="1336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336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C</w:t>
            </w:r>
          </w:p>
        </w:tc>
      </w:tr>
      <w:tr>
        <w:trPr>
          <w:cantSplit/>
        </w:trPr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UC07 Отмена</w:t>
            </w:r>
          </w:p>
        </w:tc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 U</w:t>
            </w:r>
          </w:p>
        </w:tc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336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UC08 История</w:t>
            </w:r>
          </w:p>
        </w:tc>
        <w:tc>
          <w:tcPr>
            <w:tcW w:type="dxa" w:w="1336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336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336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336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336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336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UC09 Администрирование</w:t>
            </w:r>
          </w:p>
        </w:tc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C R U</w:t>
            </w:r>
          </w:p>
        </w:tc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 D</w:t>
            </w:r>
          </w:p>
        </w:tc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</w:tr>
    </w:tbl>
    <w:p>
      <w:pPr>
        <w:spacing w:after="60"/>
      </w:pPr>
    </w:p>
    <w:p>
      <w:r>
        <w:t>Отсутствие D для товаров и документов осознанно: товар архивируется (U), оплаченный чек и движение сохраняются. Сотрудника создаёт администратор, поэтому в матрице есть источник C, хотя Web-формы управления сотрудниками нет. Начальная загрузка товаров относится к UC03, начального остатка — к UC04. Каждая сохраняемая сущность имеет сценарий создания и чтения.</w:t>
      </w:r>
    </w:p>
    <w:p>
      <w:pPr>
        <w:pStyle w:val="Heading2"/>
      </w:pPr>
      <w:r>
        <w:t>2.5 Заключение и выводы</w:t>
      </w:r>
    </w:p>
    <w:p>
      <w:pPr>
        <w:ind w:firstLine="0" w:left="283"/>
      </w:pPr>
      <w:r>
        <w:t>1. Требования сформулированы через наблюдаемые результаты и коды ошибок.</w:t>
      </w:r>
    </w:p>
    <w:p>
      <w:pPr>
        <w:ind w:firstLine="0" w:left="283"/>
      </w:pPr>
      <w:r>
        <w:t>2. Сохранение истории и безопасная повторная отправка обязательны даже в учебной версии.</w:t>
      </w:r>
    </w:p>
    <w:p>
      <w:pPr>
        <w:ind w:firstLine="0" w:left="283"/>
      </w:pPr>
      <w:r>
        <w:t>3. Пользовательские роли и роли СУБД выполняют разные задачи и проверяются отдельно.</w:t>
      </w:r>
    </w:p>
    <w:p>
      <w:pPr>
        <w:ind w:firstLine="0" w:left="283"/>
      </w:pPr>
      <w:r>
        <w:t>4. Производительность подлежит измерению на указанном объёме, а не объявляется доказанной наличием индекса.</w:t>
      </w:r>
    </w:p>
    <w:p>
      <w:pPr>
        <w:pStyle w:val="Heading1"/>
      </w:pPr>
      <w:r>
        <w:t>3 Модель предметной области</w:t>
      </w:r>
    </w:p>
    <w:p>
      <w:pPr>
        <w:pStyle w:val="Heading2"/>
      </w:pPr>
      <w:r>
        <w:t>3.1 Диаграмма вариантов использования</w:t>
      </w:r>
    </w:p>
    <w:p>
      <w:r>
        <w:t>Рисунок 1 — diagrams/01-use-case.puml. Чтобы убрать повторяющиеся связи, актор «Сотрудник» объединяет три роли кассира, менеджера и аудитора; отдельный актор показан для администратора БД. Разрешённые роли указаны прямо в вариантах использования: ведение товара и корректировка остатка доступны менеджеру, чеки ограничены ролью. UC05–UC07 собраны в один овал как варианты одного пользовательского результата — оформить продажу; отдельные требования и их критерии остаются в REQUIREMENTS.md. Вход — предусловие защищённых действий. Нотация и отношения вариантов использования сверены с UML 2.5.1 [4].</w:t>
      </w:r>
    </w:p>
    <w:p>
      <w:r>
        <w:t>Основной сценарий UC05–06: кассир входит, находит товар, добавляет количество, отправляет корзину, проверяет серверный итог, получает наличные, подтверждает оплату, видит завершённый чек. Предусловия: активная учётная запись, допустимые количества, товары существуют. Постусловия: чек paid, остатки уменьшены, создано по движению на товар.</w:t>
      </w:r>
    </w:p>
    <w:p>
      <w:r>
        <w:t>Альтернативы: товара недостаточно — черновик остаётся draft; кассир отменил покупку — cancelled; сеть потеряла ответ — повтор того же действия; товар архивирован до оплаты — отказ и последующая отмена черновика. Оплата cancelled и отмена paid запрещены.</w:t>
      </w:r>
    </w:p>
    <w:p>
      <w:pPr>
        <w:pStyle w:val="Heading2"/>
      </w:pPr>
      <w:r>
        <w:t>3.2 Диаграмма объектов</w:t>
      </w:r>
    </w:p>
    <w:p>
      <w:r>
        <w:t>Рисунок 2 — diagrams/02-objects.puml. Изображены экземпляры после продажи двух упаковок молока: товар id=101, кассир id=2, чек id=501, строка (501,101) и движение id=9001. Цена 99,90, количество 2, итог 199,80. Остаток товара после списания — 8. Это снимок объектов, не диаграмма классов. Примерные ID не задают начальные данные реализации.</w:t>
      </w:r>
    </w:p>
    <w:p>
      <w:pPr>
        <w:pStyle w:val="Heading2"/>
      </w:pPr>
      <w:r>
        <w:t>3.3 Бизнес-процесс продажи на кассе</w:t>
      </w:r>
    </w:p>
    <w:p>
      <w:r>
        <w:t>Рисунок 3 — diagrams/03-sale-bpmn.png, построенный из канонической модели diagrams/03-sale.bpmn; 03-sale-bpmn.puml содержит PlantUML-представление той же последовательности. Диаграмма опирается на легенду нотации BPMN на с. 26 методички [1] и спецификацию BPMN 2.0.2 [5]: круги — события, скруглённые прямоугольники — задачи, ромбы с X — исключающие шлюзы, дорожки — ответственность кассира и системы, сплошные стрелки — поток управления. Покупатель участвует в процессе, но не имеет интерфейса системы.</w:t>
      </w:r>
    </w:p>
    <w:p>
      <w:r>
        <w:t>Ветка проверки корзины сообщает об ошибке без списания остатков. Если покупатель отказывается, черновик отменяется. Перед оплатой система повторно проверяет остаток под блокировкой и в одной транзакции записывает оплату, чек и движения. При нехватке наличные возвращаются, черновик остаётся доступен для повторной попытки. Диаграмма описывает одну попытку: исправление корзины или повтор оплаты запускают следующий проход с сохранённым черновиком.</w:t>
      </w:r>
    </w:p>
    <w:p>
      <w:r>
        <w:t>03-sale.bpmn — импортируемая модель BPMN 2.0 XML с пулом, дорожками, событиями, задачами, исключающими шлюзами и потоками последовательности. Импорт и отображение проверяются официальным bpmn-js [7]. PlantUML используется для текстового представления исходника [6], но не заменяет BPMN XML. n8n предназначен для настройки и запуска автоматизаций и интеграций [8]; он не требуется для сдачи статической модели процесса. Для этого задания исходник .bpmn и его отрисовка подходят точнее.</w:t>
      </w:r>
    </w:p>
    <w:p>
      <w:r>
        <w:t>Черновик фиксирует цену, но не резервирует остаток. При отказе оплаты система возвращает причину, кассир отменяет черновик или повторяет проверку. Подтверждение наличных относится к учебному внутреннему учёту и не вызывает банк.</w:t>
      </w:r>
    </w:p>
    <w:p>
      <w:pPr>
        <w:pStyle w:val="Heading2"/>
      </w:pPr>
      <w:r>
        <w:t>3.4 Диаграмма состояний</w:t>
      </w:r>
    </w:p>
    <w:p>
      <w:r>
        <w:t>Рисунок 4 — diagrams/04-receipt-states.puml. Жизненный цикл сохраняемого чека: создание → draft → paid либо cancelled. Повтор оплаты paid и повтор отмены cancelled возвращают существующий документ без изменения состояния и без повторных побочных эффектов. Ошибка нехватки оставляет draft. Несохранённая корзина относится к UI и не является строкой таблицы чеков.</w:t>
      </w:r>
    </w:p>
    <w:p>
      <w:pPr>
        <w:pStyle w:val="Heading2"/>
      </w:pPr>
      <w:r>
        <w:t>3.5 ER-модель</w:t>
      </w:r>
    </w:p>
    <w:p>
      <w:r>
        <w:t>Рисунок 5 — diagrams/05-er.puml. Связи: сотрудник 1:N чек; чек 1:N строка; товар 1:N строка; товар 1:N движение; сотрудник 1:N движение; чек 0:N движение; сотрудник 1:N сеанс. Связь товар–чек M:N разрешается строкой чека. В строке хранятся исторические реквизиты — осознанная денормализация для неизменности истории. Текущий остаток в товаре ускоряет продажу, а движения объясняют изменения.</w:t>
      </w:r>
    </w:p>
    <w:p>
      <w:pPr>
        <w:pStyle w:val="Heading2"/>
      </w:pPr>
      <w:r>
        <w:t>3.6 Заключение и выводы</w:t>
      </w:r>
    </w:p>
    <w:p>
      <w:pPr>
        <w:ind w:firstLine="0" w:left="283"/>
      </w:pPr>
      <w:r>
        <w:t>1. UC-модель задаёт действия, объектная модель — конкретный снимок, ER — структуру, BPMN — процесс, состояния — допустимые переходы одного документа.</w:t>
      </w:r>
    </w:p>
    <w:p>
      <w:pPr>
        <w:ind w:firstLine="0" w:left="283"/>
      </w:pPr>
      <w:r>
        <w:t>2. Согласованность обеспечивается одинаковыми названиями статусов и бизнес-правилами R01–R12 во всех моделях.</w:t>
      </w:r>
    </w:p>
    <w:p>
      <w:pPr>
        <w:ind w:firstLine="0" w:left="283"/>
      </w:pPr>
      <w:r>
        <w:t>3. Внешние платежи не моделируются как реализованная интеграция.</w:t>
      </w:r>
    </w:p>
    <w:p>
      <w:pPr>
        <w:pStyle w:val="Heading2"/>
      </w:pPr>
      <w:r>
        <w:t>3.7 Проверка машинной модели</w:t>
      </w:r>
    </w:p>
    <w:p>
      <w:r>
        <w:t>Файл 03-sale.bpmn дополнен BPMN DI: пул, две вертикальные дорожки, 17 событий, задач и шлюзов, 16 последовательных потоков. Импорт и отрисовка проверены bpmn-js 18.28.0, предупреждений нет. 03-sale-native.svg — векторное отображение этой XML-модели. При отмене покупки наличные ещё не принимались; при отказе атомарной оплаты после получения наличных кассир возвращает их, а черновик и остаток не изменяются.</w:t>
      </w:r>
    </w:p>
    <w:p>
      <w:pPr>
        <w:pStyle w:val="Heading1"/>
      </w:pPr>
      <w:r>
        <w:t>4 Архитектура программного обеспечения</w:t>
      </w:r>
    </w:p>
    <w:p>
      <w:pPr>
        <w:pStyle w:val="Heading2"/>
      </w:pPr>
      <w:r>
        <w:t>4.1 Вариант архитектуры и обоснование</w:t>
      </w:r>
    </w:p>
    <w:p>
      <w:r>
        <w:t>Выбрана трёхуровневая клиент-серверная архитектура: React-клиент в браузере, FastAPI-сервер приложений, PostgreSQL. Nginx отдаёт статические файлы и проксирует /api. Предметные функции объединены в модульный монолит: для одной команды из трёх человек это позволяет сохранять продажу одной транзакцией и не вводить распределённые транзакции. Стек соответствует согласованному отступлению от примеров методички; официальная документация React, FastAPI и PostgreSQL использована как технический справочник [9–11].</w:t>
      </w:r>
    </w:p>
    <w:p>
      <w:pPr>
        <w:pStyle w:val="Heading3"/>
      </w:pPr>
      <w:r>
        <w:t>4.1.1 Модульная структура</w:t>
      </w:r>
    </w:p>
    <w:p>
      <w:pPr>
        <w:keepNext/>
      </w:pPr>
      <w:r>
        <w:t>Таблица 1 — Модули, методы и данные проектируемой системы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Модуль</w:t>
            </w:r>
          </w:p>
        </w:tc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Назначение и методы в псевдокоде</w:t>
            </w:r>
          </w:p>
        </w:tc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Данные и зависимости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Auth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login(credentials), me(token), logout(token), requireRole(role)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Сотрудник, сеанс; использует Security и DB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Security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hashPassword(password), verifyPassword(password, hash), hashToken(token)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Соль и хеш; не зависит от UI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Catalog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list(query,cursor,limit), create(card), update(card,version)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Товар; использует Auth, Validation, DB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Inventory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adjust(product,delta,reason), recordMovement(...)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Остаток и движение; использует Auth, DB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Sales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createReceipt(key,lines), pay(id), cancel(id), read(id), history(cursor)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Чек, строка; использует Auth, Catalog/Inventory через общую транзакцию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Validation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validateProduct(...), validateReceipt(...)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Схемы запросов; ограничивает типы, диапазоны и повтор товаров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DB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acquireConnection(), begin(), commit(), rollback()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Пул соединений и параметризованные SQL-запросы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Web Catalog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search(), nextPage(), addToCart(), editCard()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Состояние фильтра, текущая страница; вызывает API-client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Web Checkout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prepare(), confirmCash(), cancelDraft()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Корзина, серверный чек, ключ повтора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API-client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request(path,body,token), validateResponse(...)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JSON, отмена запроса, преобразование ошибок</w:t>
            </w:r>
          </w:p>
        </w:tc>
      </w:tr>
    </w:tbl>
    <w:p>
      <w:pPr>
        <w:spacing w:after="60"/>
      </w:pPr>
    </w:p>
    <w:p>
      <w:r>
        <w:t>Декомпозиция по функциям; наследование не служит основным способом организации приложения. Схемы запросов могут наследовать общие правила Pydantic. React-компоненты составляются композиционно и используют хуки.</w:t>
      </w:r>
    </w:p>
    <w:p>
      <w:pPr>
        <w:pStyle w:val="Heading3"/>
      </w:pPr>
      <w:r>
        <w:t>4.1.2 Компоненты и соединители</w:t>
      </w:r>
    </w:p>
    <w:p>
      <w:r>
        <w:t>Браузер инициирует HTTP-запросы; Nginx отдаёт сборку и передаёт API-запросы FastAPI. Сервер выполняет аутентификацию, валидацию и бизнес-правила, затем обращается к БД по PostgreSQL wire protocol. Совместно используемые данные находятся только в PostgreSQL. UI не открывает соединение с БД.</w:t>
      </w:r>
    </w:p>
    <w:p>
      <w:r>
        <w:t>Параллелизм: несколько браузеров и несколько обработчиков API используют общий пул. При оплате сервер блокирует чек, затем товары в возрастающем порядке ID. Такой порядок уменьшает возможность взаимоблокировки. Строки разных товаров допускают параллельные продажи; конфликт за последний экземпляр разрешается БД. READ COMMITTED с блокировками достаточен для выбранной транзакции; повторная проверка после получения блокировки обязательна.</w:t>
      </w:r>
    </w:p>
    <w:p>
      <w:r>
        <w:t>Псевдокод оплаты: проверить сеанс → начать транзакцию → заблокировать чек → вернуть результат, если уже paid → проверить draft → заблокировать товары по ID → проверить остаток и активность → уменьшить остаток → создать движения → пометить paid → commit. Ошибка на любом шаге приводит к rollback. Сетевой ответ отправляется после фиксации транзакции.</w:t>
      </w:r>
    </w:p>
    <w:p>
      <w:pPr>
        <w:pStyle w:val="Heading2"/>
      </w:pPr>
      <w:r>
        <w:t>4.2 Структуры распределения</w:t>
      </w:r>
    </w:p>
    <w:p>
      <w:pPr>
        <w:pStyle w:val="Heading3"/>
      </w:pPr>
      <w:r>
        <w:t>4.2.1 Размещение</w:t>
      </w:r>
    </w:p>
    <w:p>
      <w:r>
        <w:t>Рисунок 6 — diagrams/06-deployment.puml. Рабочая станция кассира выполняет браузер. Linux VM выполняет Nginx, FastAPI и PostgreSQL в отдельных контейнерах. Том БД сохраняется между перезапусками. База и API не публикуют порты на внешний интерфейс; доступ к приложению в учебном стенде ограничен localhost. Для доступа из локальной сети адрес публикации и TLS настраиваются отдельно.</w:t>
      </w:r>
    </w:p>
    <w:p>
      <w:r>
        <w:t>Проектная VM: 4 vCPU, 8 ГБ RAM, 40 ГБ диска с возможностью расширения; гостевая ОС Linux, сеть NAT с ограниченным пробросом или host-only. Производительность проверяется измерением на реальном выделенном стенде. Контейнеры не заменяют этап установки VM, предусмотренный ЛР №2.</w:t>
      </w:r>
    </w:p>
    <w:p>
      <w:pPr>
        <w:pStyle w:val="Heading3"/>
      </w:pPr>
      <w:r>
        <w:t>4.2.2 Реализация</w:t>
      </w:r>
    </w:p>
    <w:p>
      <w:pPr>
        <w:keepNext/>
      </w:pPr>
      <w:r>
        <w:t>Таблица 2 — План отображения модулей на файлы будущей реализации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  <w:cantSplit/>
        </w:trPr>
        <w:tc>
          <w:tcPr>
            <w:tcW w:type="dxa" w:w="4677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Модуль</w:t>
            </w:r>
          </w:p>
        </w:tc>
        <w:tc>
          <w:tcPr>
            <w:tcW w:type="dxa" w:w="4677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Планируемое место реализации на этапе ЛР №3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Сборка приложения и lifecycle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backend/app/main.py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HTTP-маршруты Auth, Catalog, Sales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backend/app/routers/auth.py, products.py, receipts.py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Предметные операции Catalog, Inventory, Sales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backend/app/services/products.py, receipts.py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Аутентификация и проверка ролей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backend/app/dependencies.py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Преобразование ошибок в HTTP-ответы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backend/app/errors.py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Validation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backend/app/schemas.py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Security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backend/app/security.py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DB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backend/app/db.py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Схема и права БД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init.sql, db/pg_hba.conf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Web Catalog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frontend/src/Catalog.jsx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Оркестрация состояния интерфейса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frontend/src/App.jsx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Вход, навигация, редактор товара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frontend/src/components/*.jsx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Checkout и история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frontend/src/features/checkout/*.jsx, frontend/src/features/receipts/*.jsx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API-client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frontend/src/api.js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Стили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frontend/src/styles.css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Развёртывание прикладной версии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docker-compose.yml, Dockerfile компонентов</w:t>
            </w:r>
          </w:p>
        </w:tc>
      </w:tr>
    </w:tbl>
    <w:p>
      <w:pPr>
        <w:spacing w:after="60"/>
      </w:pPr>
    </w:p>
    <w:p>
      <w:r>
        <w:t>Это план структуры будущего кода. В ЛР №1 размещаются только документы и модели. ЛР №2 создаёт отдельный инфраструктурный стенд с заглушкой и своим томом; прикладная схема и исходники появляются только в ЛР №3. ЛР №4 реализует отдельную инструментальную утилиту варианта 12.</w:t>
      </w:r>
    </w:p>
    <w:p>
      <w:pPr>
        <w:pStyle w:val="Heading3"/>
      </w:pPr>
      <w:r>
        <w:t>4.2.3 Распределение функций между участниками</w:t>
      </w:r>
    </w:p>
    <w:p>
      <w:pPr>
        <w:keepNext/>
      </w:pPr>
      <w:r>
        <w:t>Таблица 3 — Обязанности по архитектуре и интеграции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339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Участник</w:t>
            </w:r>
          </w:p>
        </w:tc>
        <w:tc>
          <w:tcPr>
            <w:tcW w:type="dxa" w:w="2339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Роль в ЛР №1</w:t>
            </w:r>
          </w:p>
        </w:tc>
        <w:tc>
          <w:tcPr>
            <w:tcW w:type="dxa" w:w="2339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Ответственность</w:t>
            </w:r>
          </w:p>
        </w:tc>
        <w:tc>
          <w:tcPr>
            <w:tcW w:type="dxa" w:w="2339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Интерфейс передачи результата</w:t>
            </w:r>
          </w:p>
        </w:tc>
      </w:tr>
      <w:tr>
        <w:trPr>
          <w:cantSplit/>
        </w:trPr>
        <w:tc>
          <w:tcPr>
            <w:tcW w:type="dxa" w:w="23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A</w:t>
            </w:r>
          </w:p>
        </w:tc>
        <w:tc>
          <w:tcPr>
            <w:tcW w:type="dxa" w:w="23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Специалист по НИОКР</w:t>
            </w:r>
          </w:p>
        </w:tc>
        <w:tc>
          <w:tcPr>
            <w:tcW w:type="dxa" w:w="23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Концепция, требования, ограничения и критерии</w:t>
            </w:r>
          </w:p>
        </w:tc>
        <w:tc>
          <w:tcPr>
            <w:tcW w:type="dxa" w:w="23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CONCEPT.md, REQUIREMENTS.md</w:t>
            </w:r>
          </w:p>
        </w:tc>
      </w:tr>
      <w:tr>
        <w:trPr>
          <w:cantSplit/>
        </w:trPr>
        <w:tc>
          <w:tcPr>
            <w:tcW w:type="dxa" w:w="2339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B</w:t>
            </w:r>
          </w:p>
        </w:tc>
        <w:tc>
          <w:tcPr>
            <w:tcW w:type="dxa" w:w="2339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Системный аналитик</w:t>
            </w:r>
          </w:p>
        </w:tc>
        <w:tc>
          <w:tcPr>
            <w:tcW w:type="dxa" w:w="2339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UC, объекты, BPMN, состояния, ER; согласование терминов</w:t>
            </w:r>
          </w:p>
        </w:tc>
        <w:tc>
          <w:tcPr>
            <w:tcW w:type="dxa" w:w="2339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DOMAIN_MODEL.md, исходники моделей</w:t>
            </w:r>
          </w:p>
        </w:tc>
      </w:tr>
      <w:tr>
        <w:trPr>
          <w:cantSplit/>
        </w:trPr>
        <w:tc>
          <w:tcPr>
            <w:tcW w:type="dxa" w:w="23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C</w:t>
            </w:r>
          </w:p>
        </w:tc>
        <w:tc>
          <w:tcPr>
            <w:tcW w:type="dxa" w:w="23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Архитектор ПО</w:t>
            </w:r>
          </w:p>
        </w:tc>
        <w:tc>
          <w:tcPr>
            <w:tcW w:type="dxa" w:w="23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Модули, протоколы, транзакции, размещение и план реализации</w:t>
            </w:r>
          </w:p>
        </w:tc>
        <w:tc>
          <w:tcPr>
            <w:tcW w:type="dxa" w:w="23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ARCHITECTURE.md, схема размещения</w:t>
            </w:r>
          </w:p>
        </w:tc>
      </w:tr>
    </w:tbl>
    <w:p>
      <w:pPr>
        <w:spacing w:after="60"/>
      </w:pPr>
    </w:p>
    <w:p>
      <w:r>
        <w:t>На этапе реализации A принимает GUI, B реализует API и интеграцию, C отвечает за БД. A — Кочетков Роман; B — Энгельгард Кирилл; C — Прохоров Максим. Обмен контрактом JSON и согласование бизнес-правил предшествуют реализации; изменения требований оформляются задачей и проходят совместный обзор.</w:t>
      </w:r>
    </w:p>
    <w:p>
      <w:pPr>
        <w:pStyle w:val="Heading2"/>
      </w:pPr>
      <w:r>
        <w:t>4.3 Надёжность и эксплуатационные границы</w:t>
      </w:r>
    </w:p>
    <w:p>
      <w:r>
        <w:t>Блокировки обеспечивают согласованность между экземплярами API, а не только внутри одного процесса. Размер пула ограничивает число соединений. Запросы имеют таймаут; занятый сервис отвечает временной ошибкой, которую клиент может повторить. Отсутствие сети не разрешает клиенту списывать остатки самостоятельно.</w:t>
      </w:r>
    </w:p>
    <w:p>
      <w:r>
        <w:t>Секреты передаются через локальный конфигурационный файл, не включаются в сборку клиента и Git. Различаются пользовательские роли приложения и технические роли БД. Администратор БД доверенный и может обходить прикладные ограничения; его действия выполняются по регламенту. Контур приложения и контур Redmine имеют разные базы и тома.</w:t>
      </w:r>
    </w:p>
    <w:p>
      <w:pPr>
        <w:pStyle w:val="Heading2"/>
      </w:pPr>
      <w:r>
        <w:t>4.4 Заключение и выводы</w:t>
      </w:r>
    </w:p>
    <w:p>
      <w:pPr>
        <w:ind w:firstLine="0" w:left="283"/>
      </w:pPr>
      <w:r>
        <w:t>1. Три уровня разделяют отображение, принятие решений и сохранение данных.</w:t>
      </w:r>
    </w:p>
    <w:p>
      <w:pPr>
        <w:ind w:firstLine="0" w:left="283"/>
      </w:pPr>
      <w:r>
        <w:t>2. Модульный монолит соответствует размеру команды и общей транзакции продажи.</w:t>
      </w:r>
    </w:p>
    <w:p>
      <w:pPr>
        <w:ind w:firstLine="0" w:left="283"/>
      </w:pPr>
      <w:r>
        <w:t>3. Структуры размещения, реализации и распределения обязанностей описывают разные стороны одной архитектуры.</w:t>
      </w:r>
    </w:p>
    <w:p>
      <w:pPr>
        <w:ind w:firstLine="0" w:left="283"/>
      </w:pPr>
      <w:r>
        <w:t>4. Масштабирование начинается с корректных запросов, индексов и ограниченных ответов; отдельные сервисы вводятся только при подтверждённой необходимости.</w:t>
      </w:r>
    </w:p>
    <w:p>
      <w:pPr>
        <w:pStyle w:val="Heading1"/>
      </w:pPr>
      <w:r>
        <w:t>5 Роли и защита ЛР №1</w:t>
      </w:r>
    </w:p>
    <w:p>
      <w:r>
        <w:t>Методичка, с. 43: A — специалист по научно-исследовательским и опытно-конструкторским разработкам (концепция и требования); B — системный аналитик (модель предметной области); C — архитектор ПО (архитектура). Приоритет выступлений: A, B, C. A — Кочетков Роман; B — Энгельгард Кирилл; C — Прохоров Максим. Группа, преподаватель, даты и подписи заполняются при оформлении сдачи.</w:t>
      </w:r>
    </w:p>
    <w:p>
      <w:r>
        <w:t>Каждому подготовить доклад на 3–5 минут: постановка задачи, собственный результат, проблема и принятое решение, вывод. A объясняет конфликты цен/остатков и источники постановки. B объясняет нормализацию связей, сохранение снимков цены, отличие BPMN от диаграммы состояний. C объясняет три уровня, транзакцию оплаты и три структуры распределения.</w:t>
      </w:r>
    </w:p>
    <w:p>
      <w:r>
        <w:t>Контрольные ответы: актор — внешняя роль по отношению к границе системы; UC — цель взаимодействия; объект — конкретный экземпляр; состояние — допустимый этап жизни объекта; конфликт требований обнаруживается сопоставлением моделей и CRUD; архитектура определяет компоненты и связи, а структура реализации — отображение модулей на файлы.</w:t>
      </w:r>
    </w:p>
    <w:p>
      <w:r>
        <w:t>Источники и нормативная основа: методичка ЛР №1 (2021), включая рисунок BPMN на с. 26; ISO/IEC/IEEE 29148:2018 для требований; UML 2.5.1 и BPMN 2.0.2 от OMG для моделей; официальное руководство PlantUML и bpmn-js для исходников и отрисовки. n8n указан только для разграничения назначения: это платформа автоматизации/интеграций, а не обязательный редактор статической диаграммы. Полные библиографические записи и ссылки — в SOURCES.md и отчёте. Предметные предположения сформулированы для учебного супермаркета и ограничены концепцией.</w:t>
      </w:r>
    </w:p>
    <w:p>
      <w:pPr>
        <w:pStyle w:val="Heading1"/>
      </w:pPr>
      <w:r>
        <w:t>6 Проверка по методическим указаниям ЛР №1</w:t>
      </w:r>
    </w:p>
    <w:p>
      <w:r>
        <w:t>Вариант 36 на с. 47: информационная система супермаркета. В этой директории оставлены только проектные артефакты; прикладного кода нет.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  <w:cantSplit/>
        </w:trPr>
        <w:tc>
          <w:tcPr>
            <w:tcW w:type="dxa" w:w="4677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Требование методички</w:t>
            </w:r>
          </w:p>
        </w:tc>
        <w:tc>
          <w:tcPr>
            <w:tcW w:type="dxa" w:w="4677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Где выполнено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Концепция, границы и словарь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CONCEPT.md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Конфликты интересов и дерево функций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CONCEPT.md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Бизнес-, функциональные и нефункциональные требования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REQUIREMENTS.md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Требования к UI и CRUD-матрица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REQUIREMENTS.md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Модель предметной области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DOMAIN_MODEL.md, объектная и ER-диаграммы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UML Use Case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diagrams/01-use-case.puml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BPMN процесса продажи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diagrams/03-sale.bpmn, дополнительное представление PlantUML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Диаграмма состояний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diagrams/04-receipt-states.puml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Архитектура и структуры размещения, реализации, распределения функций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ARCHITECTURE.md, deployment-диаграмма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Три роли коллективной работы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ARCHITECTURE.md, DEFENSE.md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Отчёт: титул, задание, оглавление, описание, выводы, источники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REPORT_LR1.docx</w:t>
            </w:r>
          </w:p>
        </w:tc>
      </w:tr>
    </w:tbl>
    <w:p>
      <w:pPr>
        <w:spacing w:after="60"/>
      </w:pPr>
    </w:p>
    <w:p>
      <w:r>
        <w:t>Четыре диаграммы, прямо запрошенные в задании, присутствуют в исходниках PlantUML. ER и deployment добавлены для полноты модели. План файлов в архитектуре описывает будущую ЛР №3 и не является выдачей её реализации.</w:t>
      </w:r>
    </w:p>
    <w:p>
      <w:r>
        <w:t>Основание: методические указания ЛР №1, требования к отчёту на с. 3, задание и состав результатов на с. 7, вариант на с. 47.</w:t>
      </w:r>
    </w:p>
    <w:p>
      <w:r>
        <w:t>Для BPMN графику сверяли именно с рис. 9 на с. 26 методички: события-круги, задачи, исключающие шлюзы-ромбы, пул и дорожки, потоки управления. Канонический .bpmn содержит те же обозначения и переходы; PlantUML-файл оставлен как читаемое текстовое представление. Список прочих стандартов и официальной документации вынесен в SOURCES.md.</w:t>
      </w:r>
    </w:p>
    <w:p>
      <w:pPr>
        <w:pStyle w:val="Heading1"/>
        <w:jc w:val="center"/>
      </w:pPr>
      <w:r>
        <w:t>ЗАКЛЮЧЕНИЕ</w:t>
      </w:r>
    </w:p>
    <w:p>
      <w:r>
        <w:t>Сформированы концепция, словарь, конфликты, дерево функций, спецификация и CRUD-матрица. Подготовлены UML-модели, BPMN и ER-модель. Определены клиент-серверные компоненты, правила транзакций и структуры размещения, реализации и распределения обязанностей. Модели проверены программной отрисовкой; первая работа сохранена как самостоятельный этап проектирования.</w:t>
      </w:r>
    </w:p>
    <w:p>
      <w:pPr>
        <w:pStyle w:val="Heading1"/>
        <w:jc w:val="center"/>
      </w:pPr>
      <w:r>
        <w:t>СПИСОК ИСПОЛЬЗОВАННЫХ ИСТОЧНИКОВ</w:t>
      </w:r>
    </w:p>
    <w:p>
      <w:r>
        <w:t>1. Основы программной инженерии. Методические указания к выполнению лабораторной работы № 1 / сост. П. А. Охтилев, А. Э. Зянчурин. Санкт-Петербург : ГУАП, 2021. Электронный документ, предоставленный к заданию.</w:t>
      </w:r>
    </w:p>
    <w:p>
      <w:r>
        <w:t>2. ГУАП. Для учебного процесса. Нормативная документация. URL: https://guap.ru/c/regdocs/docs/uch (дата обращения: 03.10.2026).</w:t>
      </w:r>
    </w:p>
    <w:p>
      <w:r>
        <w:t>3. ISO/IEC/IEEE 29148:2018. Systems and software engineering — Requirements engineering. URL: https://www.iso.org/standard/72089.html (дата обращения: 03.10.2026).</w:t>
      </w:r>
    </w:p>
    <w:p>
      <w:r>
        <w:t>4. OMG. Unified Modeling Language (UML), Version 2.5.1. URL: https://www.omg.org/spec/UML/2.5.1/ (дата обращения: 03.10.2026).</w:t>
      </w:r>
    </w:p>
    <w:p>
      <w:r>
        <w:t>5. OMG. Business Process Model and Notation (BPMN), Version 2.0.2. URL: https://www.omg.org/spec/BPMN/2.0.2/PDF (дата обращения: 03.10.2026).</w:t>
      </w:r>
    </w:p>
    <w:p>
      <w:r>
        <w:t>6. PlantUML. Language Reference Guide. URL: https://plantuml.com/guide (дата обращения: 03.10.2026).</w:t>
      </w:r>
    </w:p>
    <w:p>
      <w:r>
        <w:t>7. bpmn-io. bpmn-js: BPMN 2.0 rendering toolkit and web modeler. URL: https://github.com/bpmn-io/bpmn-js (дата обращения: 03.10.2026).</w:t>
      </w:r>
    </w:p>
    <w:p>
      <w:r>
        <w:t>8. n8n. Documentation: workflow automation and integrations. URL: https://docs.n8n.io/ (дата обращения: 03.10.2026).</w:t>
      </w:r>
    </w:p>
    <w:p>
      <w:r>
        <w:t>9. React. Learn React. URL: https://react.dev/learn (дата обращения: 03.10.2026).</w:t>
      </w:r>
    </w:p>
    <w:p>
      <w:r>
        <w:t>10. FastAPI. Tutorial. URL: https://fastapi.tiangolo.com/tutorial/ (дата обращения: 03.10.2026).</w:t>
      </w:r>
    </w:p>
    <w:p>
      <w:r>
        <w:t>11. PostgreSQL Global Development Group. PostgreSQL 17 Documentation. URL: https://www.postgresql.org/docs/17/ (дата обращения: 03.10.2026).</w:t>
      </w:r>
    </w:p>
    <w:p>
      <w:pPr>
        <w:pStyle w:val="Heading1"/>
      </w:pPr>
      <w:r>
        <w:t>ПРИЛОЖЕНИЕ А Диаграммы</w:t>
      </w:r>
    </w:p>
    <w:p>
      <w:pPr>
        <w:keepNext/>
      </w:pPr>
      <w:r>
        <w:t>Модель представлена на рисунке А.1.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37292" cy="6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use-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7292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8"/>
        </w:rPr>
        <w:t>Рисунок А.1 — 01-use-case</w:t>
      </w:r>
    </w:p>
    <w:p>
      <w:pPr>
        <w:keepNext/>
      </w:pPr>
      <w:r>
        <w:t>Модель представлена на рисунке А.2.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89411" cy="683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bje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9411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8"/>
        </w:rPr>
        <w:t>Рисунок А.2 — 02-objects</w:t>
      </w:r>
    </w:p>
    <w:p>
      <w:pPr>
        <w:keepNext/>
      </w:pPr>
      <w:r>
        <w:t>Модель представлена на рисунке А.3.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07200" cy="68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ale-bpm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7200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8"/>
        </w:rPr>
        <w:t>Рисунок А.3 — 03-sale-bpmn</w:t>
      </w:r>
    </w:p>
    <w:p>
      <w:pPr>
        <w:keepNext/>
      </w:pPr>
      <w:r>
        <w:t>Модель представлена на рисунке А.4.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6892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ceipt-st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89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8"/>
        </w:rPr>
        <w:t>Рисунок А.4 — 04-receipt-states</w:t>
      </w:r>
    </w:p>
    <w:p>
      <w:pPr>
        <w:keepNext/>
      </w:pPr>
      <w:r>
        <w:t>Модель представлена на рисунке А.5.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516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51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8"/>
        </w:rPr>
        <w:t>Рисунок А.5 — 05-er</w:t>
      </w:r>
    </w:p>
    <w:p>
      <w:pPr>
        <w:keepNext/>
      </w:pPr>
      <w:r>
        <w:t>Модель представлена на рисунке А.6.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43693" cy="68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ploy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3693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8"/>
        </w:rPr>
        <w:t>Рисунок А.6 — 06-deployment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60"/>
      <w:ind w:firstLine="709"/>
      <w:jc w:val="left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ind w:firstLine="709"/>
      <w:jc w:val="left"/>
      <w:outlineLvl w:val="1"/>
    </w:pPr>
    <w:rPr>
      <w:rFonts w:ascii="Times New Roman" w:hAnsi="Times New Roman" w:cs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ind w:firstLine="709"/>
      <w:jc w:val="left"/>
      <w:outlineLvl w:val="2"/>
    </w:pPr>
    <w:rPr>
      <w:rFonts w:ascii="Times New Roman" w:hAnsi="Times New Roman" w:cs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240"/>
      <w:ind w:firstLine="709"/>
      <w:contextualSpacing/>
      <w:jc w:val="left"/>
    </w:pPr>
    <w:rPr>
      <w:rFonts w:ascii="Times New Roman" w:hAnsi="Times New Roman" w:cs="Times New Roman" w:eastAsia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spacing w:line="276" w:lineRule="auto" w:after="60"/>
      <w:ind w:firstLine="0" w:left="0"/>
    </w:pPr>
    <w:rPr>
      <w:rFonts w:ascii="Times New Roman" w:hAnsi="Times New Roman" w:cs="Times New Roman" w:eastAsia="Times New Roman"/>
      <w:sz w:val="28"/>
    </w:rPr>
  </w:style>
  <w:style w:type="paragraph" w:customStyle="1" w:styleId="TOC2">
    <w:name w:val="TOC 2"/>
    <w:basedOn w:val="Normal"/>
    <w:pPr>
      <w:spacing w:line="276" w:lineRule="auto" w:after="60"/>
      <w:ind w:firstLine="0" w:left="283"/>
    </w:pPr>
    <w:rPr>
      <w:rFonts w:ascii="Times New Roman" w:hAnsi="Times New Roman" w:cs="Times New Roman" w:eastAsia="Times New Roman"/>
      <w:sz w:val="28"/>
    </w:rPr>
  </w:style>
  <w:style w:type="paragraph" w:customStyle="1" w:styleId="TOC3">
    <w:name w:val="TOC 3"/>
    <w:basedOn w:val="Normal"/>
    <w:pPr>
      <w:spacing w:line="276" w:lineRule="auto" w:after="60"/>
      <w:ind w:firstLine="0" w:left="567"/>
    </w:pPr>
    <w:rPr>
      <w:rFonts w:ascii="Times New Roman" w:hAnsi="Times New Roman" w:cs="Times New Roman" w:eastAsia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 1 — Разработка требований и проектирование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