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/>
          <w:i w:val="0"/>
          <w:sz w:val="20"/>
        </w:rPr>
        <w:t>МИНИСТЕРСТВО НАУКИ И ВЫСШЕГО ОБРАЗОВАНИЯ РОССИЙСКОЙ ФЕДЕРАЦИИ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 w:val="0"/>
          <w:i w:val="0"/>
          <w:sz w:val="19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/>
          <w:i w:val="0"/>
          <w:sz w:val="22"/>
        </w:rPr>
        <w:t>«САНКТ-ПЕТЕРБУРГСКИЙ ГОСУДАРСТВЕННЫЙ УНИВЕРСИТЕТ АЭРОКОСМИЧЕСКОГО ПРИБОРОСТРОЕНИЯ»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 w:val="0"/>
          <w:i w:val="0"/>
          <w:sz w:val="20"/>
        </w:rPr>
        <w:t>ИНСТИТУТ ИНФОРМАЦИОННЫХ СИСТЕМ И ЗАЩИТЫ ИНФОРМАЦИИ</w:t>
      </w:r>
    </w:p>
    <w:p>
      <w:pPr>
        <w:spacing w:line="360" w:lineRule="auto" w:after="360" w:before="0"/>
        <w:ind w:firstLine="0"/>
        <w:jc w:val="center"/>
      </w:pPr>
      <w:r>
        <w:rPr>
          <w:rFonts w:ascii="Times New Roman" w:hAnsi="Times New Roman"/>
          <w:b/>
          <w:i w:val="0"/>
          <w:sz w:val="22"/>
        </w:rPr>
        <w:t>КАФЕДРА № 43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ОТЧЕТ ЗАЩИЩЕН С ОЦЕНКОЙ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ПРЕПОДАВАТЕЛЬ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ассистент А. Э. Зянчурин</w:t>
            </w:r>
          </w:p>
        </w:tc>
      </w:tr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подпись, дата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инициалы, фамилия</w:t>
            </w:r>
          </w:p>
        </w:tc>
      </w:tr>
    </w:tbl>
    <w:p>
      <w:pPr>
        <w:spacing w:line="360" w:lineRule="auto" w:after="480" w:before="0"/>
        <w:ind w:firstLine="0"/>
        <w:jc w:val="both"/>
      </w:pPr>
    </w:p>
    <w:p>
      <w:pPr>
        <w:spacing w:line="360" w:lineRule="auto" w:after="120" w:before="0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ОТЧЕТ О ЛАБОРАТОРНОЙ РАБОТЕ № 1</w:t>
      </w:r>
    </w:p>
    <w:p>
      <w:pPr>
        <w:spacing w:line="360" w:lineRule="auto" w:after="120" w:before="0"/>
        <w:ind w:firstLine="0"/>
        <w:jc w:val="center"/>
      </w:pPr>
      <w:r>
        <w:rPr>
          <w:rFonts w:ascii="Times New Roman" w:hAnsi="Times New Roman"/>
          <w:b/>
          <w:i w:val="0"/>
          <w:sz w:val="26"/>
        </w:rPr>
        <w:t>«Автоматизация технологического процесса промышленного производства программного обеспечения»</w:t>
      </w:r>
    </w:p>
    <w:p>
      <w:pPr>
        <w:spacing w:line="360" w:lineRule="auto" w:after="80" w:before="0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по дисциплине: «Основы программной инженерии»</w:t>
      </w:r>
    </w:p>
    <w:p>
      <w:pPr>
        <w:spacing w:line="360" w:lineRule="auto" w:after="720" w:before="0"/>
        <w:ind w:firstLine="0"/>
        <w:jc w:val="center"/>
      </w:pPr>
      <w:r>
        <w:rPr>
          <w:rFonts w:ascii="Times New Roman" w:hAnsi="Times New Roman"/>
          <w:b w:val="0"/>
          <w:i/>
          <w:sz w:val="25"/>
        </w:rPr>
        <w:t>Индивидуальный раздел: «Архитектор программного обеспечения. Проектирование архитектуры системы»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РАБОТУ ВЫПОЛНИЛ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СТУДЕНТ гр. № 4434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Прохоров М. Ю.</w:t>
            </w:r>
          </w:p>
        </w:tc>
      </w:tr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подпись, дата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инициалы, фамилия</w:t>
            </w:r>
          </w:p>
        </w:tc>
      </w:tr>
    </w:tbl>
    <w:p>
      <w:pPr>
        <w:spacing w:line="360" w:lineRule="auto" w:after="800" w:before="0"/>
        <w:ind w:firstLine="0"/>
        <w:jc w:val="both"/>
      </w:pP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Санкт-Петербург</w:t>
        <w:br/>
        <w:t>2026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ЗАДАНИЕ</w:t>
      </w:r>
    </w:p>
    <w:p>
      <w:pPr>
        <w:spacing w:line="360" w:lineRule="auto" w:after="160" w:before="0"/>
        <w:ind w:firstLine="709"/>
        <w:jc w:val="both"/>
      </w:pPr>
      <w:r>
        <w:rPr>
          <w:rFonts w:ascii="Times New Roman" w:hAnsi="Times New Roman"/>
          <w:b w:val="0"/>
          <w:i/>
          <w:sz w:val="28"/>
        </w:rPr>
        <w:t>На индивидуальное выполнение раздела лабораторной работы студентом группы 4434 Прохоров М. Ю..</w:t>
      </w:r>
    </w:p>
    <w:p>
      <w:pPr>
        <w:spacing w:line="360" w:lineRule="auto" w:after="200" w:before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Тема задания: Проектирование архитектуры программного обеспечения информационной системы супермаркета в роли архитектора ПО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Перечень подлежащих исследованию, проектированию и разработке вопросов: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Обоснование трехуровневой архитектурной структуры (уровень представления UI, уровень прикладных сервисов API, уровень хранения данных СУБД) и архитектурного паттерна модульного монолита.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Декомпозиция программной системы на функциональные модули (Каталог товаров, Складской учет, Кассовые чеки, Аутентификация и безопасность) и спецификация межмодульных контрактов.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Проектирование транзакционной модели кассовой продажи с обеспечением атомарного списания остатков и защиты от race condition через блокировку строк.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Разработка структуры физического размещения компонентов (Deployment-диаграмма) с учетом контейнеризации и сетевой изоляции.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Разработка структуры реализации программного обеспечения: отображение логических модулей на файловую структуру кодовой базы.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Анализ надежности, отказоустойчивости, изоляции секретов и эксплуатационных границ архитектуры.</w:t>
      </w:r>
    </w:p>
    <w:p>
      <w:pPr>
        <w:spacing w:line="360" w:lineRule="auto" w:after="360" w:before="0"/>
        <w:ind w:firstLine="0"/>
        <w:jc w:val="both"/>
      </w:pPr>
    </w:p>
    <w:p>
      <w:pPr>
        <w:spacing w:line="312" w:lineRule="auto"/>
        <w:ind w:firstLine="0"/>
      </w:pPr>
      <w:r>
        <w:rPr>
          <w:rFonts w:ascii="Times New Roman" w:hAnsi="Times New Roman"/>
          <w:sz w:val="24"/>
        </w:rPr>
        <w:t>Задание выдал: ____________________ / А. Э. Зянчурин /</w:t>
        <w:br/>
        <w:t>Подпись: _________________________</w:t>
        <w:br/>
        <w:t>Задание принял: ___________________ / Прохоров М. Ю. /</w:t>
        <w:br/>
        <w:t>Дата выдачи: «____» ___________ 2026 г.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ВВЕДЕНИЕ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1 АРХИТЕКТУРНЫЙ СТИЛЬ И ОБОСНОВАНИЕ РЕШЕНИЙ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1.1 Обоснование трехуровневой архитектуры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1.2 Обоснование паттерна модульного монолита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2 МОДУЛЬНАЯ СТРУКТУРА И ИНТЕРФЕЙСЫ ВЗАИМОДЕЙСТВИЯ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2.1 Декомпозиция системы на модули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2.2 Модули, методы в псевдокоде и зависимости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2.3 Соединители и протоколы обмена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3 ТРАНЗАКЦИОННАЯ МОДЕЛЬ И СОГЛАСОВАННОСТЬ ДАННЫХ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3.1 Алгоритм атомарного проведения чека и списания остатков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3.2 Защита от параллельных гонок кассиров (Race Condition)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3.3 Идемпотентность и двухфазная смена состояния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4 СТРУКТУРЫ РАСПРЕДЕЛЕНИЯ ПРОГРАММНОГО ОБЕСПЕЧЕНИЯ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4.1 Структура физического размещения (Deployment-диаграмма)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4.2 Требования к ресурсам стенда виртуализации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4.3 Структура реализации и план отображения модулей на файлы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5 НАДЕЖНОСТЬ, ОТКАЗОУСТОЙЧИВОСТЬ И БЕЗОПАСНОСТЬ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5.1 Обработка сбоев канала связи и таймауты запросов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5.2 Управление секретами и изоляция учетных записей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ЗАКЛЮЧЕНИЕ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СПИСОК ИСПОЛЬЗОВАННЫХ ИСТОЧНИКОВ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Настоящий отчет представляет результаты архитектурного проектирования информационной системы розничного супермаркета (вариант 36) в рамках лабораторной работы № 1 по дисциплине «Основы программной инженерии».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Главной задачей архитектора программного обеспечения является определение высокоуровневой структуры системы, декомпозиция на слабосвязанные модули, выбор архитектурного паттерна, обоснование используемых протоколов взаимодействия, а также проектирование структур размещения и реализации, гарантирующих выполнение жестких требований к транзакционной целостности и надежности.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Проектирование выполнено с учетом стандартов ISO/IEC/IEEE 42010 и лучших практик архитектурного анализа программных комплексов.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1 АРХИТЕКТУРНЫЙ СТИЛЬ И ОБОСНОВАНИЕ РЕШЕНИЙ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1.1 Обоснование трехуровневой архитектуры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качестве основополагающей архитектурной модели выбрана классическая трехуровневая архитектура (Three-tier Architecture), включающая: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Уровень представления (Presentation Tier) — веб-клиент на базе современного компонентного фреймворка, выполняемый в браузере на автоматизированном рабочем месте сотрудника;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Уровень прикладных сервисов и бизнес-логики (Application Tier) — сервер приложений на базе высокопроизводительного асинхронного веб-фреймворка, обеспечивающий строгую валидацию входных данных, авторизацию и оркестрацию бизнес-правил;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Уровень постоянного хранения данных (Data Tier) — реляционная СУБД с гарантией поддержки требований ACID, обеспечивающая сохранность номенклатуры, кассовых проводок и управление транзакциями.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1.2 Обоснование паттерна модульного монолита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качестве архитектурного паттерна для уровня бизнес-логики выбран модульный монолит (Modular Monolith). Данное решение обосновано следующими факторами: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Атомарность кассовой транзакции: проведение чека и синхронное уменьшение остатка по нескольким позициям требуют выполнения в рамках единой локальной транзакции базы данных. При микросервисном разделении возникла бы необходимость распределенных двухфазных коммитов (2PC) или сложных саг (Saga), что неоправданно усложняет учебную систему и снижает надежность;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Размер команды и сложность развертывания: модульный монолит позволяет вести строгую модульную изоляцию на уровне интерфейсов и директорий, исключая сетевые накладные расходы на сериализацию между внутренними модулями;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Прозрачность тестирования: модули легко тестируются сквозными интеграционными тестами в едином процессе.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2 МОДУЛЬНАЯ СТРУКТУРА И ИНТЕРФЕЙСЫ ВЗАИМОДЕЙСТВИЯ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2.1 Декомпозиция системы на модули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разделена на четыре автономных функциональных модуля: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Модуль каталога (Catalog Module) — поиск, фильтрация, карточки товаров, цены и штрихкоды;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Модуль складского учета (Stock Module) — операции оприходования, списания и актуализация остатков;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Модуль кассовых чеков (Checkout Module) — создание черновиков чеков, наполнение позициями, расчет сумм, проведение оплаты наличными;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Модуль аутентификации и безопасности (Auth &amp; Security Module) — проверка учетных записей, управление токенами сессий и разграничение прав.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2.2 Модули, методы в псевдокоде и зависимости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1 представлена детальная спецификация модулей системы, их методов и зависимостей.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 w:val="0"/>
          <w:sz w:val="24"/>
        </w:rPr>
        <w:t>Таблица 1 — Модули, методы и данные проектируемой системы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Модуль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Назначение и методы в псевдокоде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Данные и зависимости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Auth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login(credentials), me(token), logout(token), requireRole(role)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Сотрудник, сеанс; использует Security и DB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Security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hashPassword(password), verifyPassword(password, hash), hashToken(token)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Соль и хеш; не зависит от UI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Catalog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list(query,cursor,limit), create(card), update(card,version)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Товар; использует Auth, Validation, DB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Inventory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adjust(product,delta,reason), recordMovement(...)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Остаток и движение; использует Auth, DB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Sales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createReceipt(key,lines), pay(id), cancel(id), read(id), history(cursor)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Чек, строка; использует Auth, Catalog/Inventory через общую транзакцию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Validation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validateProduct(...), validateReceipt(...)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Схемы запросов; ограничивает типы, диапазоны и повтор товаров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DB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acquireConnection(), begin(), commit(), rollback()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Пул соединений и параметризованные SQL-запросы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Web Catalog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search(), nextPage(), addToCart(), editCard()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Состояние фильтра, текущая страница; вызывает API-client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Web Checkout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prepare(), confirmCash(), cancelDraft()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Корзина, серверный чек, ключ повтора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API-client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request(path,body,token), validateResponse(...)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JSON, отмена запроса, преобразование ошибок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2.3 Соединители и протоколы обмена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между клиентом и сервером приложений стандартизировано на протоколе HTTP/1.1 с передачей полезной нагрузки в формате JSON (RESTful API). Защищенные маршруты требуют передачи заголовка Authorization: Bearer &lt;TOKEN&gt;.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сервера приложений с СУБД осуществляется через оптимизированный пул соединений (Connection Pooling). Все параметры подключения изолируются в переменных окружения.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3 ТРАНЗАКЦИОННАЯ МОДЕЛЬ И СОГЛАСОВАННОСТЬ ДАННЫХ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3.1 Алгоритм атомарного проведения чека и списания остатков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обеспечения строгой целостности данных кассовая операция разделена на две фазы: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Фаза 1: формирование черновика (draft). Чек сохраняется в БД со связями на позиции, но остатки товаров не блокируются и не списываются. Это позволяет кассиру свободно редактировать корзину;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Фаза 2: подтверждение оплаты. Выполняется в рамках единой неделимой транзакции уровня изоляции READ COMMITTED.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3.2 Защита от параллельных гонок кассиров (Race Condition)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параллельной работе нескольких кассовых узлов возможна ситуация одновременной продажи последнего экземпляра товара. Для устранения коллизий применяется механизм пессимистической блокировки строк на уровне СУБД: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BEGIN TRANSACTION;</w:t>
        <w:br/>
        <w:t>SELECT id, stock FROM products WHERE id = :item_id FOR UPDATE;</w:t>
        <w:br/>
        <w:t>-- проверка: если stock &lt; requested_qty, генерируется ROLLBACK и ошибка 409 Conflict</w:t>
        <w:br/>
        <w:t>UPDATE products SET stock = stock - :requested_qty WHERE id = :item_id;</w:t>
        <w:br/>
        <w:t>INSERT INTO stock_movements ...;</w:t>
        <w:br/>
        <w:t>UPDATE receipts SET status = 'paid', paid_at = NOW() WHERE id = :receipt_id;</w:t>
        <w:br/>
        <w:t>COMMIT;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Блокировка FOR UPDATE гарантирует, что вторая касса дождется завершения транзакции первой и получит актуальный нулевой остаток, предотвратив отрицательные остатки.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3.3 Идемпотентность и двухфазная смена состояния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Запросы на оплату чека проектируются идемпотентными: если клиент из-за сетевого сбоя повторно отправляет запрос на оплату уже проведенного чека, сервер возвращает статус 200 OK с ранее зафиксированными данными, не производя повторного списания остатков со склада.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4 СТРУКТУРЫ РАСПРЕДЕЛЕНИЯ ПРОГРАММНОГО ОБЕСПЕЧЕНИЯ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4.1 Структура физического размещения (Deployment-диаграмма)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Физическая топология системы разработана в соответствии со стандартами промышленного развертывания.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6313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1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— Диаграмма физического размещения компонентов системы (Deployment Diagram)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Топология включает: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Клиентские рабочие места кассиров и менеджеров: обычные ПК с современными браузерами, подключающиеся к веб-серверу по локальной сети супермаркета;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Серверный контур: выделенная виртуальная машина Linux, содержащая контейнеры Nginx (веб-сервер и обратный прокси), FastAPI (сервер приложений) и PostgreSQL (сервер СУБД);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Сетевая безопасность: база данных и сервер приложений не публикуют открытые сетевые порты во внешнюю сеть, взаимодействие происходит внутри защищенной внутренней сети.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4.2 Требования к ресурсам стенда виртуализации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развертывания проектного стенда определены требования к ресурсам виртуальной машины: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Процессор: не менее 4 vCPU;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Оперативная память: не менее 8 ГБ RAM;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Дисковое пространство: 40 ГБ с динамическим расширением;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Сетевые адаптеры: NAT для загрузки пакетов и Host-Only для изоляции трафика разработки.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4.3 Структура реализации и план отображения модулей на файлы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2 представлен детальный план декомпозиции архитектурных модулей на структуру каталогов и файлов будущей реализации.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 w:val="0"/>
          <w:sz w:val="24"/>
        </w:rPr>
        <w:t>Таблица 2 — План отображения модулей на файлы будущей реализации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Модуль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Планируемое место реализации на этапе ЛР №3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Сборка приложения и lifecycle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backend/app/main.py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HTTP-маршруты Auth, Catalog, Sales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backend/app/routers/auth.py, products.py, receipts.py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Предметные операции Catalog, Inventory, Sales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backend/app/services/products.py, receipts.py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Аутентификация и проверка ролей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backend/app/dependencies.py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Преобразование ошибок в HTTP-ответы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backend/app/errors.py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Validation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backend/app/schemas.py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Security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backend/app/security.py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DB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backend/app/db.py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Схема и права БД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init.sql, db/pg_hba.conf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Web Catalog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frontend/src/Catalog.jsx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Оркестрация состояния интерфейса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frontend/src/App.jsx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Вход, навигация, редактор товара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frontend/src/components/*.jsx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Checkout и история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frontend/src/features/checkout/*.jsx, frontend/src/features/receipts/*.jsx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API-client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frontend/src/api.js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Стили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frontend/src/styles.css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Развёртывание прикладной версии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docker-compose.yml, Dockerfile компонентов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5 НАДЕЖНОСТЬ, ОТКАЗОУСТОЙЧИВОСТЬ И БЕЗОПАСНОСТЬ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5.1 Обработка сбоев канала связи и таймауты запросов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архитектуре предусмотрена строгая обработка непредвиденных сбоев: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Таймауты клиентских запросов составляют 5 секунд, предотвращая зависание интерфейса кассира;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При кратковременной недоступности сервера клиент отображает статус ошибки и сохраняет текущее состояние корзины в оперативной памяти страницы;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Пул соединений с БД имеет лимит на максимальное число одновременных подключений (до 20 соединений), защищая СУБД от перегрузки.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5.2 Управление секретами и изоляция учетных записей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Архитектура разграничивает прикладные и технические учетные записи: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Сервер приложений подключается к БД под выделенной учетной записью market_app, лишенной прав на удаление таблиц (DROP/ALTER);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Все секреты (пароли, ключи) передаются исключительно через защищенный файл локального окружения .env и не попадают в систему контроля версий;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Инфраструктурный контур системного управления изолирован от продуктовой базы данных приложения.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результате выполнения индивидуального раздела лабораторной работы № 1 в роли архитектора программного обеспечения сформирована законченная архитектурная концепция информационной системы розничного супермаркета.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Были достигнуты следующие проектные результаты: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Обоснован выбор трехуровневой архитектуры и паттерна модульного монолита, наилучшим образом удовлетворяющего требованиям локальной транзакционной целостности розничной торговли;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Сформирована модульная структура системы, специфицированы методы, входные параметры и взаимосвязи ключевых модулей;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Разработана транзакционная модель проведения чека с пессимистической блокировкой строк (FOR UPDATE), гарантирующая отсутствие гонок и защиту от отрицательных остатков;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Спроектирована физическая структура размещения компонентов (Deployment) и план отображения архитектурных компонентов на структуру файлов кодовой базы.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архитектурная спецификация является надежной технической основой для последующей организации сред разработки и практической реализации системы.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1. Охтилев П.А., Зянчурин А.Э. Основы программной инженерии: Методические указания к выполнению лабораторных работ. — СПб.: ГУАП, 2021. — 75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2. ГОСТ 2.105-2019. Единая система конструкторской документации. Общие требования к текстовым документам. — М.: Стандартинформ, 2019. — 38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— М.: Стандартинформ, 2018. — 32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4. ISO/IEC/IEEE 42010:2011. Systems and software engineering — Architecture description. — Geneva: ISO, 2011. — 46 p.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5. Басс Л., Клементс П., Кацман Р. Архитектура программного обеспечения на практике. — 3-е изд. — СПб.: Питер, 2014. — 576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6. Мартин Р. Чистая архитектура. Искусство разработки программного обеспечения. — СПб.: Питер, 2018. — 352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333333"/>
        <w:sz w:val="22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