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AI Agent - Limitations &amp; Workarounds</w:t>
      </w:r>
    </w:p>
    <w:p>
      <w:pPr>
        <w:pStyle w:val="Heading1"/>
      </w:pPr>
      <w:r>
        <w:t xml:space="preserve">AI Agent: Known Limitations</w:t>
      </w:r>
    </w:p>
    <w:p>
      <w:r>
        <w:t xml:space="preserve">Platform-level constraints to keep in mind:</w:t>
      </w:r>
    </w:p>
    <w:p>
      <w:r>
        <w:t xml:space="preserve">1. Conversation Visibility: Agent only sees the current assigned conversation context.</w:t>
      </w:r>
    </w:p>
    <w:p>
      <w:r>
        <w:t xml:space="preserve">2. Message Type Support: Limited support for large attachments or complex interactive buttons in some channels.</w:t>
      </w:r>
    </w:p>
    <w:p>
      <w:r>
        <w:t xml:space="preserve">3. Memory Limit: Long histories are summarized; only recent context is preserved for tokens.</w:t>
      </w:r>
    </w:p>
    <w:p>
      <w:r>
        <w:t xml:space="preserve">4. External Tools: Require authenticated integrations (Google, etc.) to function.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2026-03-05T10:32:04.613Z</dcterms:created>
  <dcterms:modified xsi:type="dcterms:W3CDTF">2026-03-05T10:32:04.613Z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