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8"/>
          <w:szCs w:val="48"/>
        </w:rPr>
        <w:t xml:space="preserve">Respond.io AI Agents - Feature Reference</w:t>
      </w:r>
    </w:p>
    <w:p>
      <w:pPr>
        <w:pStyle w:val="Heading1"/>
      </w:pPr>
      <w:r>
        <w:t xml:space="preserve">1. AI Agent Actions</w:t>
      </w:r>
    </w:p>
    <w:p>
      <w:r>
        <w:t xml:space="preserve">AI Agent Actions empower your agent to perform specific tasks during a conversation. Each action can be configured with specific instructions.</w:t>
      </w:r>
    </w:p>
    <w:p>
      <w:pPr>
        <w:pStyle w:val="Heading2"/>
      </w:pPr>
      <w:r>
        <w:t xml:space="preserve">Close Conversations</w:t>
      </w:r>
    </w:p>
    <w:p>
      <w:r>
        <w:t xml:space="preserve">Summarize and close conversations automatically based on predefined criteria.</w:t>
      </w:r>
    </w:p>
    <w:p>
      <w:pPr>
        <w:pStyle w:val="Heading2"/>
      </w:pPr>
      <w:r>
        <w:t xml:space="preserve">Assign to Agent or Team</w:t>
      </w:r>
    </w:p>
    <w:p>
      <w:r>
        <w:t xml:space="preserve">Route conversations to human agents, teams, or other AI agents using @mentions.</w:t>
      </w:r>
    </w:p>
    <w:p>
      <w:pPr>
        <w:pStyle w:val="Heading2"/>
      </w:pPr>
      <w:r>
        <w:t xml:space="preserve">Update Lifecycle Stage</w:t>
      </w:r>
    </w:p>
    <w:p>
      <w:r>
        <w:t xml:space="preserve">Automatically transition contacts through lifecycle stages (e.g., New Lead -&gt; Hot Lead).</w:t>
      </w:r>
    </w:p>
    <w:p>
      <w:pPr>
        <w:pStyle w:val="Heading2"/>
      </w:pPr>
      <w:r>
        <w:t xml:space="preserve">Update Contact Fields</w:t>
      </w:r>
    </w:p>
    <w:p>
      <w:r>
        <w:t xml:space="preserve">Extract information and update custom fields in the CRM.</w:t>
      </w:r>
    </w:p>
    <w:p>
      <w:pPr>
        <w:pStyle w:val="Heading2"/>
      </w:pPr>
      <w:r>
        <w:t xml:space="preserve">Update Tags</w:t>
      </w:r>
    </w:p>
    <w:p>
      <w:r>
        <w:t xml:space="preserve">Add or remove tags using the %Tag syntax in instructions.</w:t>
      </w:r>
    </w:p>
    <w:p>
      <w:pPr>
        <w:pStyle w:val="Heading2"/>
      </w:pPr>
      <w:r>
        <w:t xml:space="preserve">Trigger Workflows</w:t>
      </w:r>
    </w:p>
    <w:p>
      <w:r>
        <w:t xml:space="preserve">Seamlessly pass control between AI agents and automated workflows.</w:t>
      </w:r>
    </w:p>
    <w:p>
      <w:pPr>
        <w:pStyle w:val="Heading2"/>
      </w:pPr>
      <w:r>
        <w:t xml:space="preserve">Add Internal Comments</w:t>
      </w:r>
    </w:p>
    <w:p>
      <w:r>
        <w:t xml:space="preserve">Leave context for human agents through internal notes.</w:t>
      </w:r>
    </w:p>
    <w:p>
      <w:pPr>
        <w:pStyle w:val="Heading2"/>
      </w:pPr>
      <w:r>
        <w:t xml:space="preserve">Make HTTP Requests</w:t>
      </w:r>
    </w:p>
    <w:p>
      <w:r>
        <w:t xml:space="preserve">Interact with 3rd party APIs directly from the AI agent.</w:t>
      </w:r>
    </w:p>
    <w:p>
      <w:pPr>
        <w:pStyle w:val="Heading1"/>
      </w:pPr>
      <w:r>
        <w:t xml:space="preserve">2. Connected Tools</w:t>
      </w:r>
    </w:p>
    <w:p>
      <w:r>
        <w:t xml:space="preserve">Instead of separate actions, integrations like Google Calendar and Google Sheets are connected as Tools. The AI Agent contextually identifies the required operation:</w:t>
      </w:r>
    </w:p>
    <w:p>
      <w:r>
        <w:t xml:space="preserve">• Google Calendar: Create, List, Edit, Delete Events</w:t>
      </w:r>
    </w:p>
    <w:p>
      <w:r>
        <w:t xml:space="preserve">• Google Sheets: Append, Update, Read, Delete Rows</w:t>
      </w:r>
    </w:p>
    <w:p>
      <w:pPr>
        <w:pStyle w:val="Heading1"/>
      </w:pPr>
      <w:r>
        <w:t xml:space="preserve">3. Instruction Syntax</w:t>
      </w:r>
    </w:p>
    <w:p>
      <w:r>
        <w:t xml:space="preserve">Instructions support rich syntax for precision:</w:t>
      </w:r>
    </w:p>
    <w:p>
      <w:r>
        <w:t xml:space="preserve">@ → Mention Agent/Team</w:t>
      </w:r>
    </w:p>
    <w:p>
      <w:r>
        <w:t xml:space="preserve">{{ }} → Reference Variable</w:t>
      </w:r>
    </w:p>
    <w:p>
      <w:r>
        <w:t xml:space="preserve">% → Reference Tag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2026-03-05T10:31:12.609Z</dcterms:created>
  <dcterms:modified xsi:type="dcterms:W3CDTF">2026-03-05T10:31:12.609Z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