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w:t>
      </w:r>
    </w:p>
    <w:p>
      <w:r>
        <w:t>September 30, 2026</w:t>
      </w:r>
    </w:p>
    <w:p>
      <w:r>
        <w:t>Dear Editor-in-Chief,</w:t>
      </w:r>
    </w:p>
    <w:p>
      <w:r>
        <w:t>We are pleased to submit the manuscript “HEEH-V1 Benchmarking Under Public Provenance, Reference-Implementation Agreement, IBSI Configuration D Verification, and a Fixed Runtime Protocol” for consideration as a research-software and methods article. The manuscript reports a conservative, fully reproducible benchmark evaluation of HEEH-V1(TM) DICOM Viewer, version 1.0.2 — research and education software (Python/Streamlit, MIT License) — together with its complete measured evidence package.</w:t>
      </w:r>
    </w:p>
    <w:p>
      <w:r>
        <w:rPr>
          <w:b/>
        </w:rPr>
        <w:t xml:space="preserve">Problem addressed. </w:t>
      </w:r>
      <w:r>
        <w:t>Research teams routinely combine DICOM viewing, calibrated measurement, quantitative analysis, and data export across disconnected tools, which makes provenance, privacy review, and reproducibility difficult to audit. HEEH-V1 keeps calibrated source intensities separate from display representations, records analysis provenance, and validates privacy-aware exports, so that every reported number can be traced to a script, an input, a configuration, and a stored, hash-identified output.</w:t>
      </w:r>
    </w:p>
    <w:p>
      <w:r>
        <w:rPr>
          <w:b/>
        </w:rPr>
        <w:t xml:space="preserve">What is measured. </w:t>
      </w:r>
      <w:r>
        <w:t>Six independently measured outcome families are reported: (1) radiomics agreement on a synthetic CT phantom water ROI (mean = −0.04 HU, std = 10.02 HU; within the pre-specified tolerances 0.00 ± 3.00 HU and 10.00 ± 2.00 HU); (2) matched first-order agreement with the external reference implementation PyRadiomics v3.0.1 on an identical synthetic ROI (all absolute errors 0.0 at the declared 1e-6 tolerance); (3) verification against the official IBSI Configuration D reference values for the CT radiomics phantom, with all 270 populated reference rows reproduced (270/270) through the configured Z-Rad reference pipeline and the application’s dedicated 3D workflow; (4) export/privacy validation on 40 generated challenge fixtures with defined ground truth (sensitivity = 1.000, specificity = 1.000); and (5) runtime/memory behavior under a fixed protocol (mean elapsed 0.003887 s, mean peak memory 0.030 MB across 20 runs of the recorded workload); and (6) a full-series statistical study on the downloaded TCIA series: exact (0.0) first-order agreement with PyRadiomics v3.0.1 on all 172 slice ROIs and at five ROI radii (12-36 mm), air-region CT-number calibration within the +/-30 HU band on every slice (worst 14.39 HU), successful export round trips for all 172 real de-identified slices with 11/11 manifest-corruption probes rejected, and a quantitative decomposition of the recorded IBSI morphology disagreements (58/66) into signed convention-related deviations (volumes -3.3%, surface +8.3%, ratios up to +12.0%).</w:t>
      </w:r>
    </w:p>
    <w:p>
      <w:r>
        <w:rPr>
          <w:b/>
        </w:rPr>
        <w:t xml:space="preserve">References and comparators used. </w:t>
      </w:r>
      <w:r>
        <w:t>The comparator is PyRadiomics v3.0.1 on a matched synthetic ROI; the reference standard is the official IBSI reference table pinned at commit 6da96021bc91faf4c0cb7fd7fa56a4225d2064a8; the public-data provenance is the TCIA/NBIA collection CT-Phantom4Radiomics (CC BY 4.0; DOI 10.7937/a1v1-rc66), recorded exactly at metadata level; and the ground truth for the export benchmark is the repository’s fixture specification. All benchmark artifacts carry per-file SHA-256 hashes with a pinned dependency lock (requirements.lock) and a hash-identified benchmark script, so each number can be re-derived from the archived package.</w:t>
      </w:r>
    </w:p>
    <w:p>
      <w:r>
        <w:rPr>
          <w:b/>
        </w:rPr>
        <w:t xml:space="preserve">What the software verification demonstrates — and what it does not. </w:t>
      </w:r>
      <w:r>
        <w:t>The full automated test suite passed in a local run (328 tests, 0 failed, 0 skipped), complementing the recorded CI run, alongside ruff linting and SHA-256 manifest integrity checks. These results establish software-behavior verification and numerical reproducibility within the stated protocols only. They do not establish clinical accuracy, diagnostic performance, patient-level generalizability, full IBSI compliance, or any regulatory status: the real-data evaluation covers the single recorded phantom series with a geometric ROI (not clinical lesions), and the remainder of the public collection was not downloaded; the runtime result is environment-specific; and the benchmark report discloses in full a separate morphological-feature reference comparison with partial agreement (58 of 66 supported rows passing). The software is not a certified medical device.</w:t>
      </w:r>
    </w:p>
    <w:p>
      <w:r>
        <w:rPr>
          <w:b/>
        </w:rPr>
        <w:t xml:space="preserve">Declarations. </w:t>
      </w:r>
      <w:r>
        <w:t>This manuscript is original, has not been published previously, and is not under consideration by any other journal. The author declares no conflicts of interest and no external funding for the presented evidence artifact. All dataset provenance, licensing, code-availability, and ethical statements in the manuscript are reproduced from the verified repository records.</w:t>
      </w:r>
    </w:p>
    <w:p>
      <w:r>
        <w:rPr>
          <w:b/>
        </w:rPr>
        <w:t xml:space="preserve">Availability. </w:t>
      </w:r>
      <w:r>
        <w:t>The exact source version under benchmark is permanently archived (Zenodo version DOI 10.5281/zenodo.23020151; concept DOI 10.5281/zenodo.22768910) and the code is publicly available at https://github.com/m39heeh-art/HEEH-V1-DICOM-Viewer (tag v1.0.2, MIT License). The machine-readable benchmark artifacts accompany the submission in its evidence package.</w:t>
      </w:r>
    </w:p>
    <w:p>
      <w:r>
        <w:t>We believe this work fits the journal’s readership as a transparent research-software benchmark with explicit scope boundaries. Thank you for your consideration.</w:t>
      </w:r>
    </w:p>
    <w:p>
      <w:r>
        <w:t>Sincerely,</w:t>
      </w:r>
    </w:p>
    <w:p>
      <w:r>
        <w:t>Mohamad Yousef Heeh</w:t>
      </w:r>
    </w:p>
    <w:p>
      <w:r>
        <w:t>ORCID: 0009-0004-2729-443X</w:t>
      </w:r>
    </w:p>
    <w:p>
      <w:r>
        <w:t>Alexandria University Faculty of Medicine</w:t>
      </w:r>
    </w:p>
    <w:p>
      <w:r>
        <w:t>Email: m39.heeh@gmail.com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HEEH-V1 Benchmarking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