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pStyle w:val="Heading2"/>
      </w:pPr>
      <w:r>
        <w:t>Manuscript Title</w:t>
      </w:r>
    </w:p>
    <w:p>
      <w:r>
        <w:t>HEEH-V1 Benchmarking Under Public Provenance, Reference-Implementation Agreement, IBSI Configuration D Verification, and a Fixed Runtime Protocol</w:t>
      </w:r>
    </w:p>
    <w:p>
      <w:pPr>
        <w:pStyle w:val="Heading2"/>
      </w:pPr>
      <w:r>
        <w:t>Running Title</w:t>
      </w:r>
    </w:p>
    <w:p>
      <w:r>
        <w:t>Transparent benchmark evidence for HEEH-V1</w:t>
      </w:r>
    </w:p>
    <w:p>
      <w:pPr>
        <w:pStyle w:val="Heading2"/>
      </w:pPr>
      <w:r>
        <w:t>Authors</w:t>
      </w:r>
    </w:p>
    <w:p>
      <w:r>
        <w:t>Mohamad Yousef Heeh</w:t>
      </w:r>
    </w:p>
    <w:p>
      <w:pPr>
        <w:pStyle w:val="Heading2"/>
      </w:pPr>
      <w:r>
        <w:t>Affiliations</w:t>
      </w:r>
    </w:p>
    <w:p>
      <w:r>
        <w:t>Alexandria University Faculty of Medicine</w:t>
      </w:r>
    </w:p>
    <w:p>
      <w:r>
        <w:t>Department of Biomedical Engineering / Applied Imaging Research</w:t>
      </w:r>
    </w:p>
    <w:p>
      <w:r>
        <w:t>Alexandria, Egypt</w:t>
      </w:r>
    </w:p>
    <w:p>
      <w:pPr>
        <w:pStyle w:val="Heading2"/>
      </w:pPr>
      <w:r>
        <w:t>Corresponding Author</w:t>
      </w:r>
    </w:p>
    <w:p>
      <w:r>
        <w:t>Mohamad Yousef Heeh</w:t>
      </w:r>
    </w:p>
    <w:p>
      <w:r>
        <w:t>ORCID: 0009-0004-2729-443X</w:t>
      </w:r>
    </w:p>
    <w:p>
      <w:r>
        <w:t>Email: m39.heeh@gmail.com</w:t>
      </w:r>
    </w:p>
    <w:p>
      <w:pPr>
        <w:pStyle w:val="Heading2"/>
      </w:pPr>
      <w:r>
        <w:t>Keywords</w:t>
      </w:r>
    </w:p>
    <w:p>
      <w:r>
        <w:t>HEEH-V1; benchmark; radiomics; PyRadiomics; IBSI Configuration D; export validation; public dataset provenance; CT phantom; runtime profiling; privacy safeguards</w:t>
      </w:r>
    </w:p>
    <w:p>
      <w:pPr>
        <w:pStyle w:val="Heading2"/>
      </w:pPr>
      <w:r>
        <w:t>Funding</w:t>
      </w:r>
    </w:p>
    <w:p>
      <w:r>
        <w:t>This benchmark package was prepared without external funding claims for the presented evidence artifact.</w:t>
      </w:r>
    </w:p>
    <w:p>
      <w:pPr>
        <w:pStyle w:val="Heading2"/>
      </w:pPr>
      <w:r>
        <w:t>Conflicts of Interest</w:t>
      </w:r>
    </w:p>
    <w:p>
      <w:r>
        <w:t>The authors declare no relevant conflicts of interest for this benchmark and evidence package.</w:t>
      </w:r>
    </w:p>
    <w:p>
      <w:pPr>
        <w:pStyle w:val="Heading2"/>
      </w:pPr>
      <w:r>
        <w:t>Data Availability Statement</w:t>
      </w:r>
    </w:p>
    <w:p>
      <w:r>
        <w:t>Public metadata provenance for the TCIA/NBIA collection CT-Phantom4Radiomics is reported exactly. The synthetic/fixture benchmarks used metadata-level provenance, synthetic phantom measurements, a matched PyRadiomics comparison on a synthetic ROI, verification against the official IBSI Configuration D reference values (CT radiomics phantom), generated challenge fixtures, and the fixed runtime workload. In addition, the exact recorded series archive was subsequently downloaded via the NBIA API and evaluated on real image data (results/tcia_real_evaluation.json); the remainder of the collection was not downloaded. All machine-readable benchmark artifacts are included in the project repository (`verification/results/`, mirrored in the submission's evidence package).</w:t>
      </w:r>
    </w:p>
    <w:p>
      <w:pPr>
        <w:pStyle w:val="Heading2"/>
      </w:pPr>
      <w:r>
        <w:t>Code Availability Statement</w:t>
      </w:r>
    </w:p>
    <w:p>
      <w:r>
        <w:t>HEEH-V1 is research and education software distributed under the MIT License. The exact source version under benchmark, the pinned dependency set (`requirements.lock`), the benchmark script (`scripts/public_benchmark_evidence.py` with its recorded SHA-256), the IBSI reference-data commit (`6da96021bc91faf4c0cb7fd7fa56a4225d2064a8`), and per-artifact SHA-256 hashes are recorded in the benchmark artifacts, so every reported number can be re-derived from the archived package.</w:t>
      </w:r>
    </w:p>
    <w:p>
      <w:pPr>
        <w:pStyle w:val="Heading2"/>
      </w:pPr>
      <w:r>
        <w:t>Ethical Statement</w:t>
      </w:r>
    </w:p>
    <w:p>
      <w:r>
        <w:t>This benchmark uses public metadata, a synthetic digital phantom, official IBSI reference values, and generated challenge fixtures only. No patient-level clinical conclusions are drawn.</w:t>
      </w:r>
    </w:p>
    <w:p>
      <w:pPr>
        <w:pStyle w:val="Heading2"/>
      </w:pPr>
      <w:r>
        <w:t>Abstract Word Count</w:t>
      </w:r>
    </w:p>
    <w:p>
      <w:r>
        <w:t>Approximately 300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