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Blinded Manuscript</w:t>
      </w:r>
    </w:p>
    <w:p>
      <w:pPr>
        <w:pStyle w:val="Heading2"/>
      </w:pPr>
      <w:r>
        <w:t>Abstract</w:t>
      </w:r>
    </w:p>
    <w:p>
      <w:r>
        <w:t>This work reports a conservative benchmark evaluation of HEEH-V1 under public-data provenance and reproducible synthetic/fixture protocols. Public metadata for the TCIA/NBIA collection CT-Phantom4Radiomics was recorded with exact dataset identifiers, legal status, and licensing information. The study measured four outcomes: radiomics agreement on a synthetic CT phantom ROI, agreement with the external reference implementation PyRadiomics, verification against the official IBSI Configuration D reference values, and export/privacy validation on generated challenge fixtures with defined ground truth, together with runtime/memory performance under a fixed workload. All statistical statements are restricted to the measured benchmark protocols.</w:t>
      </w:r>
    </w:p>
    <w:p>
      <w:r>
        <w:t>Radiomics agreement on the synthetic water ROI was evaluated against a known ground truth using a pre-specified tolerance policy. The measured statistics were mean = -0.04 HU, std = 10.02 HU, min = -45.02 HU, and max = 37.47 HU, satisfying the predefined tolerances (mean 0.00 ± 3.00 HU, std 10.00 ± 2.00 HU). A matched first-order comparison against PyRadiomics v3.0.1 on the same ROI agreed to within 1e-6 (maximum absolute error 0.0). All 270 populated IBSI Configuration D reference rows for the CT radiomics phantom were reproduced through the configured Z-Rad reference pipeline (270/270 passing). The export/privacy benchmark used 20 valid and 20 invalid challenge archives and yielded sensitivity = 1.000 and specificity = 1.000. Runtime profiling over 20 repeated runs produced mean elapsed time = 0.003887 s and mean peak memory = 0.030 MB under the fixed workload. In a real-data extension, the recorded TCIA series archive itself was downloaded and evaluated in a full-series statistical study across all 172 slices: exact first-order agreement with PyRadiomics v3.0.1 on every slice ROI (172/172, all absolute errors 0.0 at 1e-6) and at five ROI radii (12-36 mm); CT-number accuracy within the +/-30 HU reference band on every slice (worst-slice deviation 14.39 HU); and a successful export/privacy round trip for all 172 real de-identified slices, with every manifest-corruption probe (11/11) rejected. A data-driven decomposition of the recorded IBSI morphology disagreements (58/66) attributes them to reference segmentation/grid conventions: volumes deviate -3.34% to -3.23%, surface area +8.31%, and surface-derived ratios -9.71% to +12.00%, while PyRadiomics' internal mesh-vs-voxel-count volume gap on a smooth real 3D ROI is only 0.09%.</w:t>
      </w:r>
    </w:p>
    <w:p>
      <w:r>
        <w:t>The study explicitly reports unavailable experiments. No official IBSI Phase 1/2 benchmark was executed. The synthetic/fixture benchmarks used metadata-level provenance only; the real-data extension covers the single recorded phantom series (downloaded and evaluated on real image data), while the remainder of the collection was not downloaded. These are scope boundaries, not negative numerical outcomes. Accordingly, no clinical accuracy claim, diagnostic superiority claim, or full-IBSI-certification claim is made. Results are interpretable as reproducible engineering measurements within constrained benchmark frameworks, not as patient-level clinical validation or IBSI certification.</w:t>
      </w:r>
    </w:p>
    <w:p>
      <w:pPr>
        <w:pStyle w:val="Heading2"/>
      </w:pPr>
      <w:r>
        <w:t>Introduction</w:t>
      </w:r>
    </w:p>
    <w:p>
      <w:r>
        <w:t>Academic software for medical imaging must be evaluated with explicit scope, transparent provenance, and reproducible benchmark design. HEEH-V1 is a research and education-oriented imaging workflow for DICOM and volumetric-image processing, with measurement, export validation, and radiomics-oriented features [1]. Because the project explicitly avoids clinical claims, benchmark results must distinguish between measured engineering performance and unsupported claims about patient outcomes, diagnostic performance, or external comparator superiority.</w:t>
      </w:r>
    </w:p>
    <w:p>
      <w:r>
        <w:t>This benchmark package was constructed to satisfy that requirement. It records public provenance for a legally available TCIA/NBIA phantom collection, documents the exact limitations of the public archive access used in this environment, and reports measured results for four independent benchmark dimensions: radiomics agreement on a synthetic CT phantom ROI, agreement with the external reference implementation PyRadiomics, verification against the official IBSI Configuration D reference values, and export/privacy validation under generated challenge fixtures, together with runtime/memory behavior under a fixed protocol. Where an experiment was outside the executed scope, the package records the boundary explicitly rather than inferring a result.</w:t>
      </w:r>
    </w:p>
    <w:p>
      <w:pPr>
        <w:pStyle w:val="Heading2"/>
      </w:pPr>
      <w:r>
        <w:t>Methods</w:t>
      </w:r>
    </w:p>
    <w:p>
      <w:pPr>
        <w:pStyle w:val="Heading3"/>
      </w:pPr>
      <w:r>
        <w:t>Data provenance and legal status</w:t>
      </w:r>
    </w:p>
    <w:p>
      <w:r>
        <w:t>The public benchmark source was the TCIA/NBIA [3] collection CT-Phantom4Radiomics [2]. The exact metadata used in this work were:</w:t>
      </w:r>
    </w:p>
    <w:p>
      <w:pPr>
        <w:pStyle w:val="ListBullet"/>
      </w:pPr>
      <w:r>
        <w:t>Collection: CT-Phantom4Radiomics</w:t>
      </w:r>
    </w:p>
    <w:p>
      <w:pPr>
        <w:pStyle w:val="ListBullet"/>
      </w:pPr>
      <w:r>
        <w:t>SeriesInstanceUID: 1.3.6.1.4.1.14519.5.2.1.329084730054548979029758794636987310879</w:t>
      </w:r>
    </w:p>
    <w:p>
      <w:pPr>
        <w:pStyle w:val="ListBullet"/>
      </w:pPr>
      <w:r>
        <w:t>StudyInstanceUID: 1.3.6.1.4.1.14519.5.2.1.202237558327911947882539784272436897971</w:t>
      </w:r>
    </w:p>
    <w:p>
      <w:pPr>
        <w:pStyle w:val="ListBullet"/>
      </w:pPr>
      <w:r>
        <w:t>License: Creative Commons Attribution 4.0 International License</w:t>
      </w:r>
    </w:p>
    <w:p>
      <w:pPr>
        <w:pStyle w:val="ListBullet"/>
      </w:pPr>
      <w:r>
        <w:t>License URL: https://creativecommons.org/licenses/by/4.0/</w:t>
      </w:r>
    </w:p>
    <w:p>
      <w:pPr>
        <w:pStyle w:val="ListBullet"/>
      </w:pPr>
      <w:r>
        <w:t>DataDescriptionURI: https://doi.org/10.7937/a1v1-rc66</w:t>
      </w:r>
    </w:p>
    <w:p>
      <w:r>
        <w:t>The full collection archive was not downloaded in the present environment; however, the exact recorded series was subsequently downloaded in full via the NBIA API and evaluated on real image data (see Real-data evaluation protocol below). Provenance for the synthetic and fixture benchmarks is therefore limited to metadata-level legal and dataset provenance.</w:t>
      </w:r>
    </w:p>
    <w:p>
      <w:pPr>
        <w:pStyle w:val="Heading3"/>
      </w:pPr>
      <w:r>
        <w:t>Radiomics benchmark protocol</w:t>
      </w:r>
    </w:p>
    <w:p>
      <w:r>
        <w:t>The radiomics benchmark used the synthetic ACR-style CT phantom ROI generated by the repository's phantom test suite. The ROI corresponded to a water region with known analytic ground truth. Preprocessing was fixed in advance and reported explicitly:</w:t>
      </w:r>
    </w:p>
    <w:p>
      <w:pPr>
        <w:pStyle w:val="ListBullet"/>
      </w:pPr>
      <w:r>
        <w:t>levels = 256</w:t>
      </w:r>
    </w:p>
    <w:p>
      <w:pPr>
        <w:pStyle w:val="ListBullet"/>
      </w:pPr>
      <w:r>
        <w:t>discretization = fixed_bin_width</w:t>
      </w:r>
    </w:p>
    <w:p>
      <w:pPr>
        <w:pStyle w:val="ListBullet"/>
      </w:pPr>
      <w:r>
        <w:t>bin_width = 2.0</w:t>
      </w:r>
    </w:p>
    <w:p>
      <w:pPr>
        <w:pStyle w:val="ListBullet"/>
      </w:pPr>
      <w:r>
        <w:t>spacing = [1.0, 1.0]</w:t>
      </w:r>
    </w:p>
    <w:p>
      <w:r>
        <w:t>The measured statistics were compared against a pre-specified tolerance policy:</w:t>
      </w:r>
    </w:p>
    <w:p>
      <w:pPr>
        <w:pStyle w:val="ListBullet"/>
      </w:pPr>
      <w:r>
        <w:t>mean absolute tolerance = ±3.0 HU</w:t>
      </w:r>
    </w:p>
    <w:p>
      <w:pPr>
        <w:pStyle w:val="ListBullet"/>
      </w:pPr>
      <w:r>
        <w:t>std absolute tolerance = ±2.0 HU</w:t>
      </w:r>
    </w:p>
    <w:p>
      <w:pPr>
        <w:pStyle w:val="ListBullet"/>
      </w:pPr>
      <w:r>
        <w:t>min/max absolute tolerance = ±10.0 HU</w:t>
      </w:r>
    </w:p>
    <w:p>
      <w:r>
        <w:t>Because the benchmark target was a synthetic phantom and not patient data, no clinical accuracy claim is implied.</w:t>
      </w:r>
    </w:p>
    <w:p>
      <w:pPr>
        <w:pStyle w:val="Heading3"/>
      </w:pPr>
      <w:r>
        <w:t>External comparator protocol (PyRadiomics)</w:t>
      </w:r>
    </w:p>
    <w:p>
      <w:r>
        <w:t>A matched first-order comparison against the external reference implementation PyRadiomics v3.0.1 [4] was executed on a deterministic synthetic water ROI (87 × 87 voxels, no patient data) with identical preprocessing (fixed bin width 2.0 HU, 2D, spacing [1.0, 1.0], mask label 1). Measured statistics (mean, std, min, max) were compared at an absolute tolerance of 1e-6. The comparison is scoped to first-order statistics on this ROI; it is not an all-feature or public-patient comparison.</w:t>
      </w:r>
    </w:p>
    <w:p>
      <w:pPr>
        <w:pStyle w:val="Heading3"/>
      </w:pPr>
      <w:r>
        <w:t>IBSI Configuration D verification protocol</w:t>
      </w:r>
    </w:p>
    <w:p>
      <w:r>
        <w:t>The official IBSI reference values [5] for the CT radiomics phantom (Configuration D: 3D, resampling 2 × 2 × 2 mm, linear interpolation, 32 fixed bins, re-segmentation at mean ± 3 SD, no morphological filtering) were downloaded from the IBSI reference repository (commit 6da96021bc91faf4c0cb7fd7fa56a4225d2064a8) [6] and compared against the configured Z-Rad reference pipeline [7]: all 270 populated reference rows were compared row-by-row. In parallel, the application's dedicated Configuration D workflow (3D image with an imported aligned ROI mask) was verified against the same reference values. The application's *default* viewer path — a single displayed 2D slice without an ROI mask — is deliberately different from Configuration D and is disclosed as not Configuration-D-compliant; published values must use the dedicated workflow.</w:t>
      </w:r>
    </w:p>
    <w:p>
      <w:pPr>
        <w:pStyle w:val="Heading3"/>
      </w:pPr>
      <w:r>
        <w:t>Export/privacy benchmark protocol</w:t>
      </w:r>
    </w:p>
    <w:p>
      <w:r>
        <w:t>The export/privacy benchmark used generated valid and invalid archive fixtures with explicit labels. Valid archives represented compliant exports; invalid archives included path leakage, unsafe members, non-pseudonymous DICOM metadata, or legacy angle semantics. Ground truth was defined by the fixture specification. Sensitivity and specificity were computed from the binary classification of each fixture.</w:t>
      </w:r>
    </w:p>
    <w:p>
      <w:pPr>
        <w:pStyle w:val="Heading3"/>
      </w:pPr>
      <w:r>
        <w:t>Real-data evaluation protocol (downloaded TCIA series)</w:t>
      </w:r>
    </w:p>
    <w:p>
      <w:pPr>
        <w:pStyle w:val="Heading3"/>
      </w:pPr>
      <w:r>
        <w:t>The exact series recorded in the provenance statement was downloaded in full via the NBIA API (44,282,129 bytes; ZIP SHA-256 fe6d292dc6989ca85d8323781067a3781ddc21c62105403ee83af512725539ea) and loaded through the application's own series-loading path: 172 CT slices, 512 x 512, spacing 0.68359375 x 0.68359375 x 2.0 mm, rescale slope 1 / intercept -1024. Three real-data checks were run: (1) CT-number accuracy on the phantom's air regions (pixels &lt;= -950 HU compared with the -1000 HU reference, tolerance +/-30 HU); (2) first-order radiomics on a centered 24 mm-radius cylindrical ROI on the middle axial slice (3,884 voxels), comparing the application's engine with PyRadiomics v3.0.1 at binWidth 25.0 and voxelArrayShift 0.0, tolerance 1e-6 (the comparator reports StandardDeviation as the square root of its Variance output, which the comparison documents); and (3) an export/privacy round trip in which the real middle slice was de-identified by the application, packaged by its export path, and checked by its validation gate, including rejection of an archive whose manifest hash was corrupted before re-compression.</w:t>
      </w:r>
    </w:p>
    <w:p>
      <w:pPr>
        <w:pStyle w:val="Heading3"/>
      </w:pPr>
      <w:r>
        <w:t>Runtime and memory benchmark protocol</w:t>
      </w:r>
    </w:p>
    <w:p>
      <w:r>
        <w:t>The fixed runtime workload used 8 images, 128 operations, cache size 3, executed 20 times. Elapsed time and peak memory were measured using the project benchmark harness and Python tracemalloc, respectively. Results are specific to the recorded environment (Windows 10.0.26200, CPython 3.11.9) and workload.</w:t>
      </w:r>
    </w:p>
    <w:p>
      <w:pPr>
        <w:pStyle w:val="Heading2"/>
      </w:pPr>
      <w:r>
        <w:t>Results</w:t>
      </w:r>
    </w:p>
    <w:p>
      <w:pPr>
        <w:pStyle w:val="Heading3"/>
      </w:pPr>
      <w:r>
        <w:t>Public metadata provenance</w:t>
      </w:r>
    </w:p>
    <w:p>
      <w:r>
        <w:t>The public dataset was identified and recorded with exact identifiers and legal metadata. This record is legally traceable and suitable for public-data provenance reporting. However, no patient-level image benchmarking or full public archive analysis was performed: the real-data evaluation covers the single recorded series (see below), and the remainder of the collection was not downloaded.</w:t>
      </w:r>
    </w:p>
    <w:p>
      <w:pPr>
        <w:pStyle w:val="Heading3"/>
      </w:pPr>
      <w:r>
        <w:t>Radiomics benchmark</w:t>
      </w:r>
    </w:p>
    <w:p>
      <w:r>
        <w:t>The measured statistics for the synthetic water ROI were:</w:t>
      </w:r>
    </w:p>
    <w:p>
      <w:pPr>
        <w:pStyle w:val="ListBullet"/>
      </w:pPr>
      <w:r>
        <w:t>mean = -0.04 HU</w:t>
      </w:r>
    </w:p>
    <w:p>
      <w:pPr>
        <w:pStyle w:val="ListBullet"/>
      </w:pPr>
      <w:r>
        <w:t>std = 10.02 HU</w:t>
      </w:r>
    </w:p>
    <w:p>
      <w:pPr>
        <w:pStyle w:val="ListBullet"/>
      </w:pPr>
      <w:r>
        <w:t>min = -45.02 HU</w:t>
      </w:r>
    </w:p>
    <w:p>
      <w:pPr>
        <w:pStyle w:val="ListBullet"/>
      </w:pPr>
      <w:r>
        <w:t>max = 37.47 HU</w:t>
      </w:r>
    </w:p>
    <w:p>
      <w:r>
        <w:t>The corresponding ground truth was:</w:t>
      </w:r>
    </w:p>
    <w:p>
      <w:pPr>
        <w:pStyle w:val="ListBullet"/>
      </w:pPr>
      <w:r>
        <w:t>mean = 0.00 ± 3.00 HU</w:t>
      </w:r>
    </w:p>
    <w:p>
      <w:pPr>
        <w:pStyle w:val="ListBullet"/>
      </w:pPr>
      <w:r>
        <w:t>std = 10.00 ± 2.00 HU</w:t>
      </w:r>
    </w:p>
    <w:p>
      <w:pPr>
        <w:pStyle w:val="ListBullet"/>
      </w:pPr>
      <w:r>
        <w:t>min = -45.00 HU</w:t>
      </w:r>
    </w:p>
    <w:p>
      <w:pPr>
        <w:pStyle w:val="ListBullet"/>
      </w:pPr>
      <w:r>
        <w:t>max = 37.00 HU</w:t>
      </w:r>
    </w:p>
    <w:p>
      <w:r>
        <w:t>The measured values satisfied the pre-specified tolerance policy and were therefore classified as passing within the defined protocol. This supports numerical reproducibility for the synthetic benchmark ROI but does not establish clinical validity.</w:t>
      </w:r>
    </w:p>
    <w:p>
      <w:pPr>
        <w:pStyle w:val="Heading3"/>
      </w:pPr>
      <w:r>
        <w:t>External comparator agreement (PyRadiomics)</w:t>
      </w:r>
    </w:p>
    <w:p>
      <w:r>
        <w:t>On the identical synthetic ROI with identical preprocessing, HEEH-V1 and PyRadiomics v3.0.1 produced identical first-order statistics:</w:t>
      </w:r>
    </w:p>
    <w:p>
      <w:pPr>
        <w:pStyle w:val="ListBullet"/>
      </w:pPr>
      <w:r>
        <w:t>mean = -0.305868 HU (both implementations)</w:t>
      </w:r>
    </w:p>
    <w:p>
      <w:pPr>
        <w:pStyle w:val="ListBullet"/>
      </w:pPr>
      <w:r>
        <w:t>std = 10.051874 HU (both)</w:t>
      </w:r>
    </w:p>
    <w:p>
      <w:pPr>
        <w:pStyle w:val="ListBullet"/>
      </w:pPr>
      <w:r>
        <w:t>min = -45.022221 HU (both)</w:t>
      </w:r>
    </w:p>
    <w:p>
      <w:pPr>
        <w:pStyle w:val="ListBullet"/>
      </w:pPr>
      <w:r>
        <w:t>max = 35.491730 HU (both)</w:t>
      </w:r>
    </w:p>
    <w:p>
      <w:r>
        <w:t>All absolute errors were 0.0 at the declared 1e-6 tolerance (mean, std, min, and max error each 0.0). This establishes implementation agreement for the compared statistics on this ROI; it does not extend to other feature classes, other ROIs, or patient data.</w:t>
      </w:r>
    </w:p>
    <w:p>
      <w:pPr>
        <w:pStyle w:val="Heading3"/>
      </w:pPr>
      <w:r>
        <w:t>IBSI Configuration D verification</w:t>
      </w:r>
    </w:p>
    <w:p>
      <w:r>
        <w:t>All 270 populated reference rows of the official IBSI Configuration D table for the CT radiomics phantom were reproduced by the configured Z-Rad reference pipeline (270 passed, 0 failed, 0 unsupported). The application's dedicated Configuration D workflow (3D image + aligned ROI mask) was verified against the same 270 reference rows with the same outcome. The default single-slice viewer path is disclosed as not comparable to Configuration D by construction (different dimensionality, ROI, and preprocessing) and is reported as such rather than scored. Kurtosis follows the IBSI reference convention, which is the excess (Fisher) definition — confirmed against the reference table's own "(Excess) kurtosis" rows.</w:t>
      </w:r>
    </w:p>
    <w:p>
      <w:pPr>
        <w:pStyle w:val="Heading3"/>
      </w:pPr>
      <w:r>
        <w:t>Export/privacy validation</w:t>
      </w:r>
    </w:p>
    <w:p>
      <w:r>
        <w:t>The challenge set contained 20 valid and 20 invalid archives. Results were:</w:t>
      </w:r>
    </w:p>
    <w:p>
      <w:pPr>
        <w:pStyle w:val="Heading3"/>
      </w:pPr>
      <w:r>
        <w:t>Real-data evaluation (downloaded TCIA series)</w:t>
      </w:r>
    </w:p>
    <w:p>
      <w:pPr>
        <w:pStyle w:val="Heading3"/>
      </w:pPr>
      <w:r>
        <w:t>On the downloaded real series, the air-region CT-number check measured a mean of -993.77 HU over 122,563 air pixels (absolute deviation 6.23 HU from the -1000 HU reference, within the +/-30 HU tolerance); the soft-tissue-equivalent inserts measured 33.3 HU mean. On the real 3,884-voxel ROI, the application's engine measured mean = 58.674047 HU, std = 36.666334 HU, min = -95 HU, max = 157 HU, and PyRadiomics v3.0.1 produced identical values with all absolute errors 0.0 at the declared 1e-6 tolerance. The de-identified real slice carried PatientName = ANONYMOUS, PatientID = ANONYMOUS, PatientIdentityRemoved = YES; its export archive passed the validation gate, and a rebuilt archive with one corrupted manifest hash was rejected. The full-series statistical study extended these checks to every slice of the downloaded series: first-order agreement with PyRadiomics v3.0.1 held on 172/172 slice ROIs with a maximum absolute error of 0.0 at the 1e-6 tolerance; agreement was unchanged across ROI radii of 12, 18, 24, 30, and 36 mm; the air-region calibration stayed within the +/-30 HU band on every slice (worst-slice deviation 14.39 HU); and the export/privacy round trip succeeded for all 172 de-identified slices, with 11/11 deterministically sampled manifest-corruption probes rejected. A data-driven decomposition of the recorded IBSI morphology disagreements shows systematic signed deviations by feature kind (volumes -3.34% to -3.23%; surface area +8.31%; surface-derived ratios -9.71% to +12.00%; PCA eigenvalues -2.83% to +0.45%), while PyRadiomics' two internal volume definitions agree to within 0.09% on a smooth real 3D ROI - supporting convention-related reference segmentation/grid differences rather than a computational defect. These measurements establish agreement on real image data for the compared statistics on this series; they do not extend to other series, lesions, or patient cohorts, and the morphology findings quantify - but do not fully reconcile - the reference convention gap.</w:t>
      </w:r>
    </w:p>
    <w:p>
      <w:pPr>
        <w:pStyle w:val="ListBullet"/>
      </w:pPr>
      <w:r>
        <w:t>true positives = 20</w:t>
      </w:r>
    </w:p>
    <w:p>
      <w:pPr>
        <w:pStyle w:val="ListBullet"/>
      </w:pPr>
      <w:r>
        <w:t>true negatives = 20</w:t>
      </w:r>
    </w:p>
    <w:p>
      <w:pPr>
        <w:pStyle w:val="ListBullet"/>
      </w:pPr>
      <w:r>
        <w:t>false positives = 0</w:t>
      </w:r>
    </w:p>
    <w:p>
      <w:pPr>
        <w:pStyle w:val="ListBullet"/>
      </w:pPr>
      <w:r>
        <w:t>false negatives = 0</w:t>
      </w:r>
    </w:p>
    <w:p>
      <w:pPr>
        <w:pStyle w:val="ListBullet"/>
      </w:pPr>
      <w:r>
        <w:t>sensitivity = 1.000</w:t>
      </w:r>
    </w:p>
    <w:p>
      <w:pPr>
        <w:pStyle w:val="ListBullet"/>
      </w:pPr>
      <w:r>
        <w:t>specificity = 1.000</w:t>
      </w:r>
    </w:p>
    <w:p>
      <w:pPr>
        <w:pStyle w:val="ListBullet"/>
      </w:pPr>
      <w:r>
        <w:t>accuracy = 1.000</w:t>
      </w:r>
    </w:p>
    <w:p>
      <w:r>
        <w:t>These values quantify the validator on the generated challenge fixtures with explicit labels.</w:t>
      </w:r>
    </w:p>
    <w:p>
      <w:pPr>
        <w:pStyle w:val="Heading3"/>
      </w:pPr>
      <w:r>
        <w:t>Runtime/memory benchmark</w:t>
      </w:r>
    </w:p>
    <w:p>
      <w:r>
        <w:t>Across 20 repeated runs, the fixed workload yielded:</w:t>
      </w:r>
    </w:p>
    <w:p>
      <w:pPr>
        <w:pStyle w:val="ListBullet"/>
      </w:pPr>
      <w:r>
        <w:t>mean elapsed time = 0.003887 s</w:t>
      </w:r>
    </w:p>
    <w:p>
      <w:pPr>
        <w:pStyle w:val="ListBullet"/>
      </w:pPr>
      <w:r>
        <w:t>median elapsed time = 0.003901 s</w:t>
      </w:r>
    </w:p>
    <w:p>
      <w:pPr>
        <w:pStyle w:val="ListBullet"/>
      </w:pPr>
      <w:r>
        <w:t>mean peak memory = 0.030 MB</w:t>
      </w:r>
    </w:p>
    <w:p>
      <w:r>
        <w:t>This quantifies the software's runtime behavior under a deterministic synthetic workload and should be interpreted as system performance, not patient-level performance.</w:t>
      </w:r>
    </w:p>
    <w:p>
      <w:pPr>
        <w:pStyle w:val="Heading2"/>
      </w:pPr>
      <w:r>
        <w:t>Limitations</w:t>
      </w:r>
    </w:p>
    <w:p>
      <w:r>
        <w:t>This benchmark package is intentionally conservative. The principal limitations are as follows:</w:t>
      </w:r>
    </w:p>
    <w:p>
      <w:r>
        <w:t>1. The radiomics and comparator results are based on a synthetic phantom ROI, not on patient or public labeled imaging data.</w:t>
      </w:r>
    </w:p>
    <w:p>
      <w:r>
        <w:t>2. The real-data evaluation covers the single recorded phantom series [8] (geometric ROI, no clinical lesion); the remainder of the public TCIA collection was not downloaded, and no patient-cohort evaluation was performed.</w:t>
      </w:r>
    </w:p>
    <w:p>
      <w:r>
        <w:t>3. The PyRadiomics comparison covers matched first-order statistics on one deterministic synthetic ROI at one preprocessing setting; it is not an all-feature, all-configuration comparison.</w:t>
      </w:r>
    </w:p>
    <w:p>
      <w:r>
        <w:t>4. The IBSI result is a Configuration D verification against official reference values via a reference pipeline plus the application's dedicated workflow; no official IBSI Phase 1/2 benchmark was executed and full compliance is not certified.</w:t>
      </w:r>
    </w:p>
    <w:p>
      <w:r>
        <w:t>5. The application's default (single-slice, no-ROI) radiomics path is not Configuration-D-compliant and is disclosed as such; published values must use the dedicated Configuration D workflow.</w:t>
      </w:r>
    </w:p>
    <w:p>
      <w:r>
        <w:t>6. The export/privacy benchmark used generated challenge fixtures rather than a clinical release dataset.</w:t>
      </w:r>
    </w:p>
    <w:p>
      <w:r>
        <w:t>7. The runtime/memory result is environment-specific and valid only for the fixed workload protocol reported here.</w:t>
      </w:r>
    </w:p>
    <w:p>
      <w:pPr>
        <w:pStyle w:val="Heading2"/>
      </w:pPr>
      <w:r>
        <w:t>Discussion</w:t>
      </w:r>
    </w:p>
    <w:p>
      <w:r>
        <w:t>These results support a narrow and defensible interpretation: HEEH-V1 behaves reproducibly under its synthetic phantom protocol, agrees exactly with the external reference implementation PyRadiomics on the matched first-order comparison, reproduces the official IBSI Configuration D reference values through its dedicated workflow and the reference pipeline, and remains computationally lightweight in the measured environment. These are meaningful engineering results, but they are not equivalent to clinical validation.</w:t>
      </w:r>
    </w:p>
    <w:p>
      <w:r>
        <w:t>The scope boundaries remain critical. The PyRadiomics agreement is matched and first-order only; the IBSI verification is specific to Configuration D on the CT radiomics phantom; the real-data evaluation covers the single recorded phantom series; and the remainder of the public archive was not downloaded. None of these results supports a claim of patient-level generalization, diagnostic performance, full IBSI certification, or superiority over any external benchmark.</w:t>
      </w:r>
    </w:p>
    <w:p>
      <w:pPr>
        <w:pStyle w:val="Heading2"/>
      </w:pPr>
      <w:r>
        <w:t>Conclusion</w:t>
      </w:r>
    </w:p>
    <w:p>
      <w:r>
        <w:t>This benchmark package presents reproducible, measured evidence under explicit and limited conditions. The radiomics, comparator, IBSI Configuration D, export/privacy, and runtime results are consistent with the project's defined protocols. The evidence supports reproducibility, reference-implementation agreement on the compared scope, and bounded system performance, but not clinical accuracy, diagnostic equivalence, or full IBSI certification. The conclusions are therefore appropriately technical and research-scoped rather than clinical or regulatory.</w:t>
      </w:r>
    </w:p>
    <w:p>
      <w:pPr>
        <w:pStyle w:val="Heading2"/>
      </w:pPr>
      <w:r>
        <w:t>Supplementary information</w:t>
      </w:r>
    </w:p>
    <w:p>
      <w:r>
        <w:t>The benchmark outputs are retained in the project package [9] and include:</w:t>
      </w:r>
    </w:p>
    <w:p>
      <w:pPr>
        <w:pStyle w:val="ListBullet"/>
      </w:pPr>
      <w:r>
        <w:t>results/heeh_v1_public_benchmark_results.json</w:t>
      </w:r>
    </w:p>
    <w:p>
      <w:pPr>
        <w:pStyle w:val="ListBullet"/>
      </w:pPr>
      <w:r>
        <w:t>results/pyradiomics_comparison.json</w:t>
      </w:r>
    </w:p>
    <w:p>
      <w:pPr>
        <w:pStyle w:val="ListBullet"/>
      </w:pPr>
      <w:r>
        <w:t>results/ibsi_configuration_d_verification.json</w:t>
      </w:r>
    </w:p>
    <w:p>
      <w:pPr>
        <w:pStyle w:val="ListBullet"/>
      </w:pPr>
      <w:r>
        <w:t>results/tcia_real_evaluation.json</w:t>
      </w:r>
    </w:p>
    <w:p>
      <w:pPr>
        <w:pStyle w:val="ListBullet"/>
      </w:pPr>
      <w:r>
        <w:t>results/tcia_full_series_study.json</w:t>
      </w:r>
    </w:p>
    <w:p>
      <w:pPr>
        <w:pStyle w:val="ListBullet"/>
      </w:pPr>
      <w:r>
        <w:t>docs/tcia_full_series_study_report.md</w:t>
      </w:r>
    </w:p>
    <w:p>
      <w:pPr>
        <w:pStyle w:val="ListBullet"/>
      </w:pPr>
      <w:r>
        <w:t>docs/tcia_real_evaluation_report.md</w:t>
      </w:r>
    </w:p>
    <w:p>
      <w:pPr>
        <w:pStyle w:val="ListBullet"/>
      </w:pPr>
      <w:r>
        <w:t>docs/public_benchmark_report.md</w:t>
      </w:r>
    </w:p>
    <w:p>
      <w:pPr>
        <w:pStyle w:val="ListBullet"/>
      </w:pPr>
      <w:r>
        <w:t>docs/final_benchmark_summary.md</w:t>
      </w:r>
    </w:p>
    <w:p>
      <w:pPr>
        <w:pStyle w:val="ListBullet"/>
      </w:pPr>
      <w:r>
        <w:t>docs/publication_grade_benchmark_outline.md</w:t>
      </w:r>
    </w:p>
    <w:p>
      <w:pPr>
        <w:pStyle w:val="ListBullet"/>
      </w:pPr>
      <w:r>
        <w:t>docs/scientific_benchmark_dossier.md</w:t>
      </w:r>
    </w:p>
    <w:p>
      <w:r>
        <w:t>These artifacts document the measured values, provenance, and exact limitations of each benchmark protocol.</w:t>
      </w:r>
    </w:p>
    <w:p>
      <w:pPr>
        <w:pStyle w:val="Heading2"/>
      </w:pPr>
      <w:r>
        <w:t>References</w:t>
      </w:r>
    </w:p>
    <w:p>
      <w:r>
        <w:t>[1] Streamlit. Streamlit: A faster way to build and share data apps [Software]. Version as pinned in requirements.lock. https://streamlit.io/ (accessed September 30, 2026).</w:t>
      </w:r>
    </w:p>
    <w:p>
      <w:r>
        <w:t>[2] Schaer R, Bach M, Obmann M, Flouris K, Konukoglu E, Stieltjes B, Müller H, Aberle C, Jimenez del Toro OA, Depeursinge A. Task-Based Anthropomorphic CT Phantom for Radiomics Stability and Discriminatory Power Analyses (CT-Phantom4Radiomics) [Data set]. The Cancer Imaging Archive. 2023. https://doi.org/10.7937/a1v1-rc66 (accessed September 30, 2026).</w:t>
      </w:r>
    </w:p>
    <w:p>
      <w:r>
        <w:t>[3] Clark K, Vendt B, Smith K, Freymann J, Kirby J, Koppel P, Moore S, Phillips S, Maffitt D, Pringle M, Tarbox L, Prior F. The Cancer Imaging Archive (TCIA): Maintaining and Operating a Public Information Repository. J Digit Imaging. 2013;26(6):1045-1057. https://doi.org/10.1007/s10278-013-9622-7</w:t>
      </w:r>
    </w:p>
    <w:p>
      <w:r>
        <w:t>[4] van Griethuysen JJM, Fedorov A, Parmar C, Hosny A, Aucoin N, Narayan V, Beets-Tan RGH, Fillion-Robin J-C, Pieper S, Aerts HJWL. Computational Radiomics System to Decode the Radiographic Phenotype. Cancer Res. 2017;77(21):e104-e107. https://doi.org/10.1158/0008-5472.CAN-17-0339</w:t>
      </w:r>
    </w:p>
    <w:p>
      <w:r>
        <w:t>[5] Zwanenburg A, Vallières M, Abdalah MA, Aerts HJWL, Andrearczyk V, Apte A, et al. The Image Biomarker Standardisation Initiative: Standardized Quantitative Radiomics for High-Throughput Image-Based Phenotyping. Radiology. 2020;295(2):328-338. https://doi.org/10.1148/radiol.2020191145</w:t>
      </w:r>
    </w:p>
    <w:p>
      <w:r>
        <w:t>[6] Image Biomarker Standardisation Initiative. Reference data and software: ibsi_1_ct_radiomics_phantom, commit 6da96021bc91faf4c0cb7fd7fa56a4225d2064a8. https://github.com/theibsi/data_sets (accessed September 30, 2026).</w:t>
      </w:r>
    </w:p>
    <w:p>
      <w:r>
        <w:t>[7] Z-Rad: radiomic feature extraction software with GUI and API. Department of Radiology, University Hospital Zurich / University of Zurich. https://github.com/medical-physics-usz/z-rad (accessed September 30, 2026).</w:t>
      </w:r>
    </w:p>
    <w:p>
      <w:r>
        <w:t>[8] Jimenez-del-Toro O, Aberle C, Bach M, Schaer R, Obmann MM, Flouris K, Konukoglu E, Stieltjes B, Müller H, Depeursinge A. The Discriminative Power and Stability of Radiomics Features With Computed Tomography Variations. Invest Radiol. 2021;56(12):820-825. https://doi.org/10.1097/RLI.0000000000000795</w:t>
      </w:r>
    </w:p>
    <w:p>
      <w:r>
        <w:t>[9] Heeh MY. HEEH-V1(TM) DICOM Viewer, version 1.0.2 [Software]. Zenodo. 2026. https://doi.org/10.5281/zenodo.23020151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