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28C7F" w14:textId="77777777" w:rsidR="00314E67" w:rsidRDefault="00000000">
      <w:pPr>
        <w:spacing w:after="60"/>
        <w:jc w:val="center"/>
      </w:pPr>
      <w:r>
        <w:rPr>
          <w:noProof/>
        </w:rPr>
        <w:drawing>
          <wp:anchor distT="0" distB="0" distL="114300" distR="114300" simplePos="0" relativeHeight="251660288" behindDoc="1" locked="0" layoutInCell="1" allowOverlap="1" wp14:anchorId="72F8958F" wp14:editId="458E96F2">
            <wp:simplePos x="0" y="0"/>
            <wp:positionH relativeFrom="column">
              <wp:posOffset>4942205</wp:posOffset>
            </wp:positionH>
            <wp:positionV relativeFrom="paragraph">
              <wp:posOffset>-149225</wp:posOffset>
            </wp:positionV>
            <wp:extent cx="1289050" cy="750570"/>
            <wp:effectExtent l="0" t="0" r="0" b="0"/>
            <wp:wrapNone/>
            <wp:docPr id="429053329"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53329" name="Picture 2" descr="A logo for a company&#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89050" cy="750570"/>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0A418F78" wp14:editId="1029A1FF">
            <wp:simplePos x="0" y="0"/>
            <wp:positionH relativeFrom="column">
              <wp:posOffset>-757555</wp:posOffset>
            </wp:positionH>
            <wp:positionV relativeFrom="paragraph">
              <wp:posOffset>-207010</wp:posOffset>
            </wp:positionV>
            <wp:extent cx="1090295" cy="1074420"/>
            <wp:effectExtent l="0" t="0" r="0" b="0"/>
            <wp:wrapNone/>
            <wp:docPr id="374624483" name="Picture 1" descr="Institute of Technology of Cambodi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4483" name="Picture 1" descr="Institute of Technology of Cambodia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90295" cy="1074420"/>
                    </a:xfrm>
                    <a:prstGeom prst="rect">
                      <a:avLst/>
                    </a:prstGeom>
                    <a:noFill/>
                    <a:ln>
                      <a:noFill/>
                    </a:ln>
                  </pic:spPr>
                </pic:pic>
              </a:graphicData>
            </a:graphic>
          </wp:anchor>
        </w:drawing>
      </w:r>
      <w:r>
        <w:rPr>
          <w:b/>
          <w:bCs/>
          <w:color w:val="2E5FA3"/>
          <w:sz w:val="20"/>
          <w:szCs w:val="20"/>
        </w:rPr>
        <w:t>INSTITUTE OF TECHNOLOGY OF CAMBODIA</w:t>
      </w:r>
    </w:p>
    <w:p w14:paraId="5464AE77" w14:textId="77777777" w:rsidR="00314E67" w:rsidRDefault="00000000">
      <w:pPr>
        <w:spacing w:after="60"/>
        <w:jc w:val="center"/>
      </w:pPr>
      <w:r>
        <w:rPr>
          <w:color w:val="555555"/>
          <w:sz w:val="20"/>
          <w:szCs w:val="20"/>
        </w:rPr>
        <w:t>Department of Applied Mathematics and Statistics</w:t>
      </w:r>
    </w:p>
    <w:p w14:paraId="3585EC43" w14:textId="77777777" w:rsidR="00314E67" w:rsidRDefault="00000000">
      <w:pPr>
        <w:spacing w:after="280"/>
        <w:jc w:val="center"/>
      </w:pPr>
      <w:r>
        <w:rPr>
          <w:color w:val="888888"/>
          <w:sz w:val="20"/>
          <w:szCs w:val="20"/>
        </w:rPr>
        <w:t>AMSI32_MIP — Mini Project  |  Academic Year 2025–2026</w:t>
      </w:r>
    </w:p>
    <w:p w14:paraId="6DC5A8CB" w14:textId="77777777" w:rsidR="00314E67" w:rsidRDefault="00000000">
      <w:pPr>
        <w:spacing w:after="80"/>
        <w:jc w:val="center"/>
      </w:pPr>
      <w:r>
        <w:rPr>
          <w:b/>
          <w:bCs/>
          <w:color w:val="1F3864"/>
          <w:sz w:val="46"/>
          <w:szCs w:val="46"/>
        </w:rPr>
        <w:t>Causes and Effects of Slow GDP Growth in Cambodia</w:t>
      </w:r>
    </w:p>
    <w:p w14:paraId="52E96782" w14:textId="77777777" w:rsidR="00314E67" w:rsidRDefault="00000000">
      <w:pPr>
        <w:spacing w:after="60"/>
        <w:jc w:val="center"/>
        <w:rPr>
          <w:sz w:val="20"/>
          <w:szCs w:val="20"/>
        </w:rPr>
      </w:pPr>
      <w:r>
        <w:rPr>
          <w:color w:val="2E5FA3"/>
          <w:sz w:val="24"/>
          <w:szCs w:val="24"/>
        </w:rPr>
        <w:t>A Machine Learning Approach Aligned with SDG 8: Decent Work and Economic Growth</w:t>
      </w:r>
    </w:p>
    <w:p w14:paraId="5F34D87E" w14:textId="77777777" w:rsidR="00314E67" w:rsidRDefault="00000000">
      <w:pPr>
        <w:spacing w:before="120"/>
        <w:rPr>
          <w:sz w:val="20"/>
          <w:szCs w:val="20"/>
        </w:rPr>
      </w:pPr>
      <w:r>
        <w:rPr>
          <w:sz w:val="20"/>
          <w:szCs w:val="20"/>
        </w:rPr>
        <w:t xml:space="preserve"> </w:t>
      </w:r>
    </w:p>
    <w:p w14:paraId="096233B1" w14:textId="77777777" w:rsidR="00314E67" w:rsidRDefault="00000000">
      <w:pPr>
        <w:pBdr>
          <w:top w:val="single" w:sz="4" w:space="4" w:color="2E5FA3"/>
          <w:bottom w:val="single" w:sz="4" w:space="4" w:color="2E5FA3"/>
        </w:pBdr>
        <w:spacing w:before="100" w:after="100"/>
        <w:jc w:val="both"/>
      </w:pPr>
      <w:r>
        <w:rPr>
          <w:i/>
          <w:iCs/>
          <w:color w:val="2E5FA3"/>
          <w:sz w:val="20"/>
          <w:szCs w:val="20"/>
        </w:rPr>
        <w:t>SDG 8: Decent Work and Economic Growth  • EDA &amp; ML Modeling   • GDP Prediction  •  GDP Interpretability</w:t>
      </w:r>
    </w:p>
    <w:p w14:paraId="1765BF95" w14:textId="77777777" w:rsidR="00314E67" w:rsidRDefault="00000000">
      <w:pPr>
        <w:spacing w:before="120"/>
      </w:pPr>
      <w:r>
        <w:t xml:space="preserve"> </w:t>
      </w:r>
    </w:p>
    <w:tbl>
      <w:tblPr>
        <w:tblW w:w="9360"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14E67" w14:paraId="4D05743E"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35736609" w14:textId="77777777" w:rsidR="00314E67" w:rsidRDefault="00000000">
            <w:pPr>
              <w:spacing w:after="100"/>
            </w:pPr>
            <w:r>
              <w:rPr>
                <w:b/>
                <w:bCs/>
                <w:color w:val="1F3864"/>
              </w:rPr>
              <w:t>Group</w:t>
            </w:r>
          </w:p>
        </w:tc>
        <w:tc>
          <w:tcPr>
            <w:tcW w:w="6560" w:type="dxa"/>
            <w:tcBorders>
              <w:top w:val="single" w:sz="2" w:space="0" w:color="AACDE8"/>
              <w:left w:val="nil"/>
              <w:bottom w:val="single" w:sz="2" w:space="0" w:color="AACDE8"/>
              <w:right w:val="single" w:sz="2" w:space="0" w:color="AACDE8"/>
            </w:tcBorders>
            <w:tcMar>
              <w:top w:w="80" w:type="dxa"/>
              <w:left w:w="130" w:type="dxa"/>
              <w:bottom w:w="80" w:type="dxa"/>
              <w:right w:w="130" w:type="dxa"/>
            </w:tcMar>
          </w:tcPr>
          <w:p w14:paraId="271E35DF" w14:textId="77777777" w:rsidR="00314E67" w:rsidRDefault="00000000">
            <w:pPr>
              <w:spacing w:after="100"/>
            </w:pPr>
            <w:r>
              <w:rPr>
                <w:color w:val="222222"/>
              </w:rPr>
              <w:t>Group 1</w:t>
            </w:r>
          </w:p>
        </w:tc>
      </w:tr>
      <w:tr w:rsidR="00314E67" w14:paraId="7453D63C"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65494C42" w14:textId="77777777" w:rsidR="00314E67" w:rsidRDefault="00000000">
            <w:pPr>
              <w:spacing w:after="100"/>
            </w:pPr>
            <w:r>
              <w:rPr>
                <w:b/>
                <w:bCs/>
                <w:color w:val="1F3864"/>
              </w:rPr>
              <w:t>Team Members</w:t>
            </w:r>
          </w:p>
        </w:tc>
        <w:tc>
          <w:tcPr>
            <w:tcW w:w="6560" w:type="dxa"/>
            <w:tcBorders>
              <w:top w:val="single" w:sz="2" w:space="0" w:color="AACDE8"/>
              <w:left w:val="nil"/>
              <w:bottom w:val="single" w:sz="2" w:space="0" w:color="AACDE8"/>
              <w:right w:val="single" w:sz="2" w:space="0" w:color="AACDE8"/>
            </w:tcBorders>
            <w:shd w:val="clear" w:color="auto" w:fill="F5F5F5"/>
            <w:tcMar>
              <w:top w:w="80" w:type="dxa"/>
              <w:left w:w="130" w:type="dxa"/>
              <w:bottom w:w="80" w:type="dxa"/>
              <w:right w:w="130" w:type="dxa"/>
            </w:tcMar>
          </w:tcPr>
          <w:p w14:paraId="47FF62BB" w14:textId="77777777" w:rsidR="00314E67" w:rsidRDefault="00000000">
            <w:pPr>
              <w:spacing w:after="100"/>
            </w:pPr>
            <w:r>
              <w:rPr>
                <w:color w:val="222222"/>
              </w:rPr>
              <w:t>CHAN Serey — e20230409</w:t>
            </w:r>
          </w:p>
          <w:p w14:paraId="2B7B8936" w14:textId="77777777" w:rsidR="00314E67" w:rsidRDefault="00000000">
            <w:pPr>
              <w:spacing w:after="100"/>
            </w:pPr>
            <w:r>
              <w:rPr>
                <w:color w:val="222222"/>
              </w:rPr>
              <w:t>HACH Lyheng — e20231175</w:t>
            </w:r>
          </w:p>
          <w:p w14:paraId="3D4B97F6" w14:textId="77777777" w:rsidR="00314E67" w:rsidRDefault="00000000">
            <w:pPr>
              <w:spacing w:after="100"/>
            </w:pPr>
            <w:r>
              <w:rPr>
                <w:color w:val="222222"/>
              </w:rPr>
              <w:t>HAY Pechmanea — e20230391</w:t>
            </w:r>
          </w:p>
          <w:p w14:paraId="18118CD0" w14:textId="77777777" w:rsidR="00314E67" w:rsidRDefault="00000000">
            <w:pPr>
              <w:spacing w:after="100"/>
            </w:pPr>
            <w:r>
              <w:rPr>
                <w:color w:val="222222"/>
              </w:rPr>
              <w:t>HORT Kimmeng — e20231111</w:t>
            </w:r>
          </w:p>
        </w:tc>
      </w:tr>
      <w:tr w:rsidR="00314E67" w14:paraId="54664C45"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4F4EB15C" w14:textId="77777777" w:rsidR="00314E67" w:rsidRDefault="00000000">
            <w:pPr>
              <w:spacing w:after="100"/>
            </w:pPr>
            <w:r>
              <w:rPr>
                <w:b/>
                <w:bCs/>
                <w:color w:val="1F3864"/>
              </w:rPr>
              <w:t>Instructors</w:t>
            </w:r>
          </w:p>
        </w:tc>
        <w:tc>
          <w:tcPr>
            <w:tcW w:w="6560" w:type="dxa"/>
            <w:tcBorders>
              <w:top w:val="single" w:sz="2" w:space="0" w:color="AACDE8"/>
              <w:left w:val="nil"/>
              <w:bottom w:val="single" w:sz="2" w:space="0" w:color="AACDE8"/>
              <w:right w:val="single" w:sz="2" w:space="0" w:color="AACDE8"/>
            </w:tcBorders>
            <w:tcMar>
              <w:top w:w="80" w:type="dxa"/>
              <w:left w:w="130" w:type="dxa"/>
              <w:bottom w:w="80" w:type="dxa"/>
              <w:right w:w="130" w:type="dxa"/>
            </w:tcMar>
          </w:tcPr>
          <w:p w14:paraId="18F6F01D" w14:textId="77777777" w:rsidR="00314E67" w:rsidRDefault="00000000">
            <w:pPr>
              <w:spacing w:after="100"/>
            </w:pPr>
            <w:r>
              <w:rPr>
                <w:color w:val="222222"/>
              </w:rPr>
              <w:t>Dr. HAS Sothea  |  Dr. PHAUK Sokkhey  |  Mr. NHIM Malai</w:t>
            </w:r>
          </w:p>
        </w:tc>
      </w:tr>
      <w:tr w:rsidR="00314E67" w14:paraId="4137BBCF"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7388D4B2" w14:textId="77777777" w:rsidR="00314E67" w:rsidRDefault="00000000">
            <w:pPr>
              <w:spacing w:after="100"/>
            </w:pPr>
            <w:r>
              <w:rPr>
                <w:b/>
                <w:bCs/>
                <w:color w:val="1F3864"/>
              </w:rPr>
              <w:t>SDG Alignment</w:t>
            </w:r>
          </w:p>
        </w:tc>
        <w:tc>
          <w:tcPr>
            <w:tcW w:w="6560" w:type="dxa"/>
            <w:tcBorders>
              <w:top w:val="single" w:sz="2" w:space="0" w:color="AACDE8"/>
              <w:left w:val="nil"/>
              <w:bottom w:val="single" w:sz="2" w:space="0" w:color="AACDE8"/>
              <w:right w:val="single" w:sz="2" w:space="0" w:color="AACDE8"/>
            </w:tcBorders>
            <w:shd w:val="clear" w:color="auto" w:fill="F5F5F5"/>
            <w:tcMar>
              <w:top w:w="80" w:type="dxa"/>
              <w:left w:w="130" w:type="dxa"/>
              <w:bottom w:w="80" w:type="dxa"/>
              <w:right w:w="130" w:type="dxa"/>
            </w:tcMar>
          </w:tcPr>
          <w:p w14:paraId="6354A480" w14:textId="77777777" w:rsidR="00314E67" w:rsidRDefault="00000000">
            <w:pPr>
              <w:spacing w:after="100"/>
            </w:pPr>
            <w:r>
              <w:rPr>
                <w:color w:val="222222"/>
              </w:rPr>
              <w:t xml:space="preserve">SDG 8 — </w:t>
            </w:r>
            <w:r>
              <w:t>Decent Work and Economic Growth (Target 8.1, 8.2)</w:t>
            </w:r>
          </w:p>
        </w:tc>
      </w:tr>
      <w:tr w:rsidR="00314E67" w14:paraId="674FD676"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122CD0F7" w14:textId="77777777" w:rsidR="00314E67" w:rsidRDefault="00000000">
            <w:pPr>
              <w:spacing w:after="100"/>
            </w:pPr>
            <w:r>
              <w:rPr>
                <w:b/>
                <w:bCs/>
                <w:color w:val="1F3864"/>
              </w:rPr>
              <w:t>Submission Date</w:t>
            </w:r>
          </w:p>
        </w:tc>
        <w:tc>
          <w:tcPr>
            <w:tcW w:w="6560" w:type="dxa"/>
            <w:tcBorders>
              <w:top w:val="single" w:sz="2" w:space="0" w:color="AACDE8"/>
              <w:left w:val="nil"/>
              <w:bottom w:val="single" w:sz="2" w:space="0" w:color="AACDE8"/>
              <w:right w:val="single" w:sz="2" w:space="0" w:color="AACDE8"/>
            </w:tcBorders>
            <w:tcMar>
              <w:top w:w="80" w:type="dxa"/>
              <w:left w:w="130" w:type="dxa"/>
              <w:bottom w:w="80" w:type="dxa"/>
              <w:right w:w="130" w:type="dxa"/>
            </w:tcMar>
          </w:tcPr>
          <w:p w14:paraId="5C594242" w14:textId="088C1C4A" w:rsidR="00314E67" w:rsidRDefault="001703FF">
            <w:pPr>
              <w:spacing w:after="100"/>
            </w:pPr>
            <w:r>
              <w:t>15/06/2026</w:t>
            </w:r>
          </w:p>
        </w:tc>
      </w:tr>
      <w:tr w:rsidR="001703FF" w14:paraId="34863DC4" w14:textId="77777777">
        <w:tc>
          <w:tcPr>
            <w:tcW w:w="2800" w:type="dxa"/>
            <w:tcBorders>
              <w:top w:val="single" w:sz="2" w:space="0" w:color="AACDE8"/>
              <w:left w:val="single" w:sz="2" w:space="0" w:color="AACDE8"/>
              <w:bottom w:val="single" w:sz="2" w:space="0" w:color="AACDE8"/>
              <w:right w:val="single" w:sz="2" w:space="0" w:color="AACDE8"/>
            </w:tcBorders>
            <w:shd w:val="clear" w:color="auto" w:fill="D6E4F0"/>
            <w:tcMar>
              <w:top w:w="80" w:type="dxa"/>
              <w:left w:w="130" w:type="dxa"/>
              <w:bottom w:w="80" w:type="dxa"/>
              <w:right w:w="130" w:type="dxa"/>
            </w:tcMar>
          </w:tcPr>
          <w:p w14:paraId="7CE349B3" w14:textId="77777777" w:rsidR="001703FF" w:rsidRDefault="001703FF" w:rsidP="001703FF">
            <w:pPr>
              <w:spacing w:after="100"/>
            </w:pPr>
            <w:r>
              <w:rPr>
                <w:b/>
                <w:bCs/>
                <w:color w:val="1F3864"/>
              </w:rPr>
              <w:t>GitHub Repository</w:t>
            </w:r>
          </w:p>
        </w:tc>
        <w:tc>
          <w:tcPr>
            <w:tcW w:w="6560" w:type="dxa"/>
            <w:tcBorders>
              <w:top w:val="single" w:sz="2" w:space="0" w:color="AACDE8"/>
              <w:left w:val="nil"/>
              <w:bottom w:val="single" w:sz="2" w:space="0" w:color="AACDE8"/>
              <w:right w:val="single" w:sz="2" w:space="0" w:color="AACDE8"/>
            </w:tcBorders>
            <w:shd w:val="clear" w:color="auto" w:fill="F5F5F5"/>
            <w:tcMar>
              <w:top w:w="80" w:type="dxa"/>
              <w:left w:w="130" w:type="dxa"/>
              <w:bottom w:w="80" w:type="dxa"/>
              <w:right w:w="130" w:type="dxa"/>
            </w:tcMar>
          </w:tcPr>
          <w:p w14:paraId="368F5A41" w14:textId="3BCD1254" w:rsidR="001703FF" w:rsidRDefault="001703FF" w:rsidP="001703FF">
            <w:pPr>
              <w:spacing w:after="100"/>
            </w:pPr>
            <w:hyperlink r:id="rId11" w:history="1">
              <w:r w:rsidRPr="00D1360D">
                <w:rPr>
                  <w:rStyle w:val="Hyperlink"/>
                </w:rPr>
                <w:t>https://git.new/PhrYn7h</w:t>
              </w:r>
            </w:hyperlink>
          </w:p>
        </w:tc>
      </w:tr>
    </w:tbl>
    <w:p w14:paraId="1CFC4CFD" w14:textId="77777777" w:rsidR="00314E67" w:rsidRDefault="00314E67"/>
    <w:p w14:paraId="16225603" w14:textId="77777777" w:rsidR="00314E67" w:rsidRDefault="00314E67"/>
    <w:p w14:paraId="3E4A6B3C" w14:textId="77777777" w:rsidR="00314E67" w:rsidRDefault="00314E67"/>
    <w:p w14:paraId="4800B4D6" w14:textId="77777777" w:rsidR="00314E67" w:rsidRDefault="00314E67"/>
    <w:p w14:paraId="5E265FFD" w14:textId="77777777" w:rsidR="00314E67" w:rsidRDefault="00314E67"/>
    <w:p w14:paraId="013D5C7C" w14:textId="77777777" w:rsidR="00314E67" w:rsidRDefault="00314E67"/>
    <w:p w14:paraId="2A119FEB" w14:textId="77777777" w:rsidR="00314E67" w:rsidRDefault="00314E67"/>
    <w:p w14:paraId="0130CDEC" w14:textId="77777777" w:rsidR="00314E67" w:rsidRDefault="00314E67"/>
    <w:p w14:paraId="485883A7" w14:textId="77777777" w:rsidR="00314E67" w:rsidRDefault="00314E67"/>
    <w:p w14:paraId="06BF869C" w14:textId="77777777" w:rsidR="00314E67" w:rsidRDefault="00314E67"/>
    <w:p w14:paraId="7C9BC956" w14:textId="77777777" w:rsidR="00314E67" w:rsidRDefault="00314E67"/>
    <w:p w14:paraId="7F87F10F" w14:textId="77777777" w:rsidR="00314E67" w:rsidRDefault="00314E67"/>
    <w:p w14:paraId="1D37C05E" w14:textId="77777777" w:rsidR="00314E67" w:rsidRDefault="00314E67"/>
    <w:p w14:paraId="7EDB899F" w14:textId="77777777" w:rsidR="00314E67" w:rsidRDefault="00314E67"/>
    <w:p w14:paraId="473B90CC" w14:textId="77777777" w:rsidR="00314E67" w:rsidRDefault="00314E67"/>
    <w:p w14:paraId="532EBBA6" w14:textId="77777777" w:rsidR="00314E67" w:rsidRDefault="00314E67"/>
    <w:p w14:paraId="42E1AB77" w14:textId="77777777" w:rsidR="00314E67" w:rsidRDefault="00314E67"/>
    <w:p w14:paraId="667BDE1A" w14:textId="77777777" w:rsidR="00314E67" w:rsidRDefault="00314E67"/>
    <w:p w14:paraId="39047E89" w14:textId="77777777" w:rsidR="00314E67" w:rsidRDefault="00314E67"/>
    <w:p w14:paraId="7C77279B" w14:textId="77777777" w:rsidR="00314E67" w:rsidRDefault="00314E67"/>
    <w:p w14:paraId="02375D59" w14:textId="77777777" w:rsidR="00314E67" w:rsidRDefault="00314E67"/>
    <w:p w14:paraId="2104D283" w14:textId="77777777" w:rsidR="00314E67" w:rsidRDefault="00314E67"/>
    <w:p w14:paraId="510CA164" w14:textId="77777777" w:rsidR="006119EB" w:rsidRDefault="006119EB"/>
    <w:p w14:paraId="6C9853D7" w14:textId="77777777" w:rsidR="006119EB" w:rsidRDefault="00000000">
      <w:pPr>
        <w:pStyle w:val="Heading1"/>
      </w:pPr>
      <w:r>
        <w:t>Content table</w:t>
      </w:r>
    </w:p>
    <w:p w14:paraId="2AD54921" w14:textId="77777777" w:rsidR="00B22725" w:rsidRDefault="00B22725">
      <w:pPr>
        <w:spacing w:after="60"/>
      </w:pPr>
      <w:hyperlink w:anchor="sec-1-abstract">
        <w:r>
          <w:rPr>
            <w:color w:val="0563C1"/>
            <w:u w:val="single"/>
          </w:rPr>
          <w:t>1 — Abstract</w:t>
        </w:r>
      </w:hyperlink>
    </w:p>
    <w:p w14:paraId="536351BA" w14:textId="77777777" w:rsidR="00B22725" w:rsidRDefault="00B22725">
      <w:pPr>
        <w:spacing w:after="60"/>
      </w:pPr>
      <w:hyperlink w:anchor="sec-2-introduction">
        <w:r>
          <w:rPr>
            <w:color w:val="0563C1"/>
            <w:u w:val="single"/>
          </w:rPr>
          <w:t>2 — Introduction</w:t>
        </w:r>
      </w:hyperlink>
    </w:p>
    <w:p w14:paraId="24432523" w14:textId="77777777" w:rsidR="00B22725" w:rsidRDefault="00B22725">
      <w:pPr>
        <w:spacing w:after="60"/>
        <w:ind w:left="720"/>
      </w:pPr>
      <w:hyperlink w:anchor="sec-2-1">
        <w:r>
          <w:rPr>
            <w:color w:val="0563C1"/>
            <w:u w:val="single"/>
          </w:rPr>
          <w:t>2.1  Background &amp; Motivation</w:t>
        </w:r>
      </w:hyperlink>
    </w:p>
    <w:p w14:paraId="3EF47E04" w14:textId="77777777" w:rsidR="00B22725" w:rsidRDefault="00B22725">
      <w:pPr>
        <w:spacing w:after="60"/>
        <w:ind w:left="720"/>
      </w:pPr>
      <w:hyperlink w:anchor="sec-2-2">
        <w:r>
          <w:rPr>
            <w:color w:val="0563C1"/>
            <w:u w:val="single"/>
          </w:rPr>
          <w:t>2.2  Problem Statement</w:t>
        </w:r>
      </w:hyperlink>
    </w:p>
    <w:p w14:paraId="4493322D" w14:textId="77777777" w:rsidR="00B22725" w:rsidRDefault="00B22725">
      <w:pPr>
        <w:spacing w:after="60"/>
        <w:ind w:left="720"/>
      </w:pPr>
      <w:hyperlink w:anchor="sec-2-3">
        <w:r>
          <w:rPr>
            <w:color w:val="0563C1"/>
            <w:u w:val="single"/>
          </w:rPr>
          <w:t>2.3  Research Objectives &amp; Questions</w:t>
        </w:r>
      </w:hyperlink>
    </w:p>
    <w:p w14:paraId="5DF8B034" w14:textId="77777777" w:rsidR="00B22725" w:rsidRDefault="00B22725">
      <w:pPr>
        <w:spacing w:after="60"/>
        <w:ind w:left="720"/>
      </w:pPr>
      <w:hyperlink w:anchor="sec-2-4">
        <w:r>
          <w:rPr>
            <w:color w:val="0563C1"/>
            <w:u w:val="single"/>
          </w:rPr>
          <w:t>2.4  Significance &amp; Expected Impact</w:t>
        </w:r>
      </w:hyperlink>
    </w:p>
    <w:p w14:paraId="288C9C26" w14:textId="77777777" w:rsidR="00B22725" w:rsidRDefault="00B22725">
      <w:pPr>
        <w:spacing w:after="60"/>
        <w:ind w:left="720"/>
      </w:pPr>
      <w:hyperlink w:anchor="sec-2-5">
        <w:r>
          <w:rPr>
            <w:color w:val="0563C1"/>
            <w:u w:val="single"/>
          </w:rPr>
          <w:t>2.5  Report Structure</w:t>
        </w:r>
      </w:hyperlink>
    </w:p>
    <w:p w14:paraId="354F2ECE" w14:textId="77777777" w:rsidR="00B22725" w:rsidRDefault="00B22725">
      <w:pPr>
        <w:spacing w:after="60"/>
      </w:pPr>
      <w:hyperlink w:anchor="sec-3-litreview">
        <w:r>
          <w:rPr>
            <w:color w:val="0563C1"/>
            <w:u w:val="single"/>
          </w:rPr>
          <w:t>3 — Literature Review</w:t>
        </w:r>
      </w:hyperlink>
    </w:p>
    <w:p w14:paraId="39C355E0" w14:textId="77777777" w:rsidR="00B22725" w:rsidRDefault="00B22725">
      <w:pPr>
        <w:spacing w:after="60"/>
        <w:ind w:left="720"/>
      </w:pPr>
      <w:hyperlink w:anchor="sec-3-1">
        <w:r>
          <w:rPr>
            <w:color w:val="0563C1"/>
            <w:u w:val="single"/>
          </w:rPr>
          <w:t>3.1  Overview of Related Work</w:t>
        </w:r>
      </w:hyperlink>
    </w:p>
    <w:p w14:paraId="15C23F54" w14:textId="77777777" w:rsidR="00B22725" w:rsidRDefault="00B22725">
      <w:pPr>
        <w:spacing w:after="60"/>
        <w:ind w:left="720"/>
      </w:pPr>
      <w:hyperlink w:anchor="sec-3-2">
        <w:r>
          <w:rPr>
            <w:color w:val="0563C1"/>
            <w:u w:val="single"/>
          </w:rPr>
          <w:t>3.2  Comparison of Existing Approaches</w:t>
        </w:r>
      </w:hyperlink>
    </w:p>
    <w:p w14:paraId="580441E5" w14:textId="77777777" w:rsidR="00B22725" w:rsidRDefault="00B22725">
      <w:pPr>
        <w:spacing w:after="60"/>
        <w:ind w:left="720"/>
      </w:pPr>
      <w:hyperlink w:anchor="sec-3-3">
        <w:r>
          <w:rPr>
            <w:color w:val="0563C1"/>
            <w:u w:val="single"/>
          </w:rPr>
          <w:t>3.3  Research Gap</w:t>
        </w:r>
      </w:hyperlink>
    </w:p>
    <w:p w14:paraId="3660D9DD" w14:textId="77777777" w:rsidR="00B22725" w:rsidRDefault="00B22725">
      <w:pPr>
        <w:spacing w:after="60"/>
      </w:pPr>
      <w:hyperlink w:anchor="sec-4-datamethod">
        <w:r>
          <w:rPr>
            <w:color w:val="0563C1"/>
            <w:u w:val="single"/>
          </w:rPr>
          <w:t>4 — Data &amp; Methodology</w:t>
        </w:r>
      </w:hyperlink>
    </w:p>
    <w:p w14:paraId="3C92CDCD" w14:textId="77777777" w:rsidR="00B22725" w:rsidRDefault="00B22725">
      <w:pPr>
        <w:spacing w:after="60"/>
        <w:ind w:left="720"/>
      </w:pPr>
      <w:hyperlink w:anchor="sec-4-1">
        <w:r>
          <w:rPr>
            <w:color w:val="0563C1"/>
            <w:u w:val="single"/>
          </w:rPr>
          <w:t>4.1  Dataset Description</w:t>
        </w:r>
      </w:hyperlink>
    </w:p>
    <w:p w14:paraId="66EDF521" w14:textId="77777777" w:rsidR="00B22725" w:rsidRDefault="00B22725">
      <w:pPr>
        <w:spacing w:after="60"/>
        <w:ind w:left="720"/>
      </w:pPr>
      <w:hyperlink w:anchor="sec-4-2">
        <w:r>
          <w:rPr>
            <w:color w:val="0563C1"/>
            <w:u w:val="single"/>
          </w:rPr>
          <w:t>4.2  Data Preprocessing</w:t>
        </w:r>
      </w:hyperlink>
    </w:p>
    <w:p w14:paraId="51E1F404" w14:textId="77777777" w:rsidR="00B22725" w:rsidRDefault="00B22725">
      <w:pPr>
        <w:spacing w:after="60"/>
        <w:ind w:left="1440"/>
      </w:pPr>
      <w:hyperlink w:anchor="sec-4-2-1">
        <w:r>
          <w:rPr>
            <w:color w:val="0563C1"/>
            <w:u w:val="single"/>
          </w:rPr>
          <w:t>4.2.1. Missing Value Sentinel Replacement</w:t>
        </w:r>
      </w:hyperlink>
    </w:p>
    <w:p w14:paraId="645B0F0C" w14:textId="77777777" w:rsidR="00B22725" w:rsidRDefault="00B22725">
      <w:pPr>
        <w:spacing w:after="60"/>
        <w:ind w:left="720"/>
      </w:pPr>
      <w:hyperlink w:anchor="sec-4-3">
        <w:r>
          <w:rPr>
            <w:color w:val="0563C1"/>
            <w:u w:val="single"/>
          </w:rPr>
          <w:t>4.3  Exploratory Data Analysis (EDA)</w:t>
        </w:r>
      </w:hyperlink>
    </w:p>
    <w:p w14:paraId="145D3826" w14:textId="77777777" w:rsidR="00B22725" w:rsidRDefault="00B22725">
      <w:pPr>
        <w:spacing w:after="60"/>
        <w:ind w:left="1440"/>
      </w:pPr>
      <w:hyperlink w:anchor="sec-4-3-1">
        <w:r>
          <w:rPr>
            <w:color w:val="0563C1"/>
            <w:u w:val="single"/>
          </w:rPr>
          <w:t>4.3.1 Time-Series Line Plots</w:t>
        </w:r>
      </w:hyperlink>
    </w:p>
    <w:p w14:paraId="573FB5C9" w14:textId="77777777" w:rsidR="00B22725" w:rsidRDefault="00B22725">
      <w:pPr>
        <w:spacing w:after="60"/>
        <w:ind w:left="1440"/>
      </w:pPr>
      <w:hyperlink w:anchor="sec-4-3-2">
        <w:r>
          <w:rPr>
            <w:color w:val="0563C1"/>
            <w:u w:val="single"/>
          </w:rPr>
          <w:t>4.3.2 Correlation Matrix Heatmap</w:t>
        </w:r>
      </w:hyperlink>
    </w:p>
    <w:p w14:paraId="422DD1C3" w14:textId="77777777" w:rsidR="00B22725" w:rsidRDefault="00B22725">
      <w:pPr>
        <w:spacing w:after="60"/>
        <w:ind w:left="1440"/>
      </w:pPr>
      <w:hyperlink w:anchor="sec-4-3-3">
        <w:r>
          <w:rPr>
            <w:color w:val="0563C1"/>
            <w:u w:val="single"/>
          </w:rPr>
          <w:t>4.3.3 Distribution Plots</w:t>
        </w:r>
      </w:hyperlink>
    </w:p>
    <w:p w14:paraId="72D4F556" w14:textId="77777777" w:rsidR="00B22725" w:rsidRDefault="00B22725">
      <w:pPr>
        <w:spacing w:after="60"/>
        <w:ind w:left="720"/>
      </w:pPr>
      <w:hyperlink w:anchor="sec-4-4">
        <w:r>
          <w:rPr>
            <w:color w:val="0563C1"/>
            <w:u w:val="single"/>
          </w:rPr>
          <w:t>4.4  Model / Analytical Approach</w:t>
        </w:r>
      </w:hyperlink>
    </w:p>
    <w:p w14:paraId="6ED4D9BA" w14:textId="77777777" w:rsidR="00B22725" w:rsidRDefault="00B22725">
      <w:pPr>
        <w:spacing w:after="60"/>
      </w:pPr>
      <w:hyperlink w:anchor="sec-5-modeval">
        <w:r>
          <w:rPr>
            <w:color w:val="0563C1"/>
            <w:u w:val="single"/>
          </w:rPr>
          <w:t>5. Model Evaluation</w:t>
        </w:r>
      </w:hyperlink>
    </w:p>
    <w:p w14:paraId="76B1AD94" w14:textId="77777777" w:rsidR="00B22725" w:rsidRDefault="00B22725">
      <w:pPr>
        <w:spacing w:after="60"/>
      </w:pPr>
      <w:hyperlink w:anchor="sec-6-discussion">
        <w:r>
          <w:rPr>
            <w:color w:val="0563C1"/>
            <w:u w:val="single"/>
          </w:rPr>
          <w:t>6. Discussion and Result</w:t>
        </w:r>
      </w:hyperlink>
    </w:p>
    <w:p w14:paraId="195CEE18" w14:textId="77777777" w:rsidR="00B22725" w:rsidRDefault="00B22725">
      <w:pPr>
        <w:spacing w:after="60"/>
      </w:pPr>
      <w:hyperlink w:anchor="sec-7-limitations">
        <w:r>
          <w:rPr>
            <w:color w:val="0563C1"/>
            <w:u w:val="single"/>
          </w:rPr>
          <w:t>7. Limitations and Future Work</w:t>
        </w:r>
      </w:hyperlink>
    </w:p>
    <w:p w14:paraId="1D26D4C7" w14:textId="77777777" w:rsidR="00B22725" w:rsidRDefault="00B22725">
      <w:pPr>
        <w:spacing w:after="60"/>
      </w:pPr>
      <w:hyperlink w:anchor="sec-8-conclusion">
        <w:r>
          <w:rPr>
            <w:color w:val="0563C1"/>
            <w:u w:val="single"/>
          </w:rPr>
          <w:t>8.  Conclusion</w:t>
        </w:r>
      </w:hyperlink>
    </w:p>
    <w:p w14:paraId="75BDA9C3" w14:textId="06026A23" w:rsidR="00A96919" w:rsidRDefault="00A96919">
      <w:pPr>
        <w:spacing w:after="60"/>
      </w:pPr>
      <w:hyperlink w:anchor="sec-9-references">
        <w:r>
          <w:rPr>
            <w:color w:val="0563C1"/>
            <w:u w:val="single"/>
          </w:rPr>
          <w:t>9. References</w:t>
        </w:r>
      </w:hyperlink>
    </w:p>
    <w:p w14:paraId="25AE7B76" w14:textId="77777777" w:rsidR="00A96919" w:rsidRDefault="00A96919">
      <w:r>
        <w:br w:type="page"/>
      </w:r>
    </w:p>
    <w:p w14:paraId="493EB715" w14:textId="77777777" w:rsidR="00B22725" w:rsidRDefault="00B22725">
      <w:pPr>
        <w:spacing w:after="60"/>
      </w:pPr>
    </w:p>
    <w:p w14:paraId="08268505" w14:textId="76EDDE68" w:rsidR="00314E67" w:rsidRDefault="00000000">
      <w:pPr>
        <w:pStyle w:val="Heading1"/>
        <w:pBdr>
          <w:bottom w:val="single" w:sz="8" w:space="4" w:color="2E5FA3"/>
        </w:pBdr>
        <w:rPr>
          <w:kern w:val="36"/>
        </w:rPr>
      </w:pPr>
      <w:bookmarkStart w:id="0" w:name="sec-1-abstract"/>
      <w:r>
        <w:t>1 — Abstract</w:t>
      </w:r>
      <w:bookmarkEnd w:id="0"/>
    </w:p>
    <w:p w14:paraId="48C9C8F0" w14:textId="77777777" w:rsidR="00314E67" w:rsidRDefault="00000000">
      <w:pPr>
        <w:spacing w:after="100"/>
        <w:jc w:val="both"/>
        <w:rPr>
          <w:color w:val="222222"/>
        </w:rPr>
      </w:pPr>
      <w:r>
        <w:rPr>
          <w:color w:val="222222"/>
        </w:rPr>
        <w:t xml:space="preserve">      Gross Domestic Product (GDP) growth is one of the most important indicators used to measure a country's economic performance and development. Cambodia has experienced significant economic growth over the past decades; however, growth rates have fluctuated due to changes in domestic and international economic conditions. Understanding the factors associated with GDP growth is important for supporting sustainable economic development and effective policy-making.</w:t>
      </w:r>
    </w:p>
    <w:p w14:paraId="002E7AE7" w14:textId="77777777" w:rsidR="00314E67" w:rsidRDefault="00000000">
      <w:pPr>
        <w:spacing w:after="100"/>
        <w:jc w:val="both"/>
        <w:rPr>
          <w:color w:val="222222"/>
        </w:rPr>
      </w:pPr>
      <w:r>
        <w:rPr>
          <w:color w:val="222222"/>
        </w:rPr>
        <w:t xml:space="preserve">      This study investigates the causes and effects of slow GDP growth in Cambodia using economic indicators obtained from the World Bank World Development Indicators (WDI) database. The dataset covers the period from 1990 to 2025 and includes variables such as GDP, GDP growth rate, foreign direct investment (FDI), consumption expenditure, government expenditure, exports, imports, inflation, GDP per capita, and GDP per employee. Data preparation techniques including data cleaning, missing value treatment, interpolation, extrapolation, and statistical imputation were applied to improve data quality.</w:t>
      </w:r>
    </w:p>
    <w:p w14:paraId="122DAFFC" w14:textId="77777777" w:rsidR="00314E67" w:rsidRDefault="00000000">
      <w:pPr>
        <w:spacing w:after="100"/>
        <w:jc w:val="both"/>
        <w:rPr>
          <w:color w:val="222222"/>
        </w:rPr>
      </w:pPr>
      <w:r>
        <w:rPr>
          <w:color w:val="222222"/>
        </w:rPr>
        <w:t xml:space="preserve">      Exploratory Data Analysis (EDA) was conducted to identify trends, distributions, and relationships among economic indicators. Subsequently, four machine learning regression models—Multiple Linear Regression, Ridge Regression, Lasso Regression, and ElasticNet Regression—were developed and compared to analyze factors associated with GDP growth. Model performance was evaluated using Mean Absolute Error (MAE), Root Mean Square Error (RMSE), and R-squared (R²).</w:t>
      </w:r>
    </w:p>
    <w:p w14:paraId="7DC515A2" w14:textId="77777777" w:rsidR="00314E67" w:rsidRDefault="00000000">
      <w:pPr>
        <w:spacing w:after="100"/>
        <w:jc w:val="both"/>
        <w:rPr>
          <w:color w:val="222222"/>
        </w:rPr>
      </w:pPr>
      <w:r>
        <w:rPr>
          <w:color w:val="222222"/>
        </w:rPr>
        <w:t>The findings provide insights into the economic factors that may influence Cambodia's GDP growth and contribute to a better understanding of periods of slow economic growth. The results may assist policymakers, researchers, and stakeholders in making informed decisions to support long-term economic development in Cambodia.</w:t>
      </w:r>
    </w:p>
    <w:p w14:paraId="0CDBF42D" w14:textId="77777777" w:rsidR="00314E67" w:rsidRDefault="00000000">
      <w:pPr>
        <w:spacing w:after="100"/>
        <w:jc w:val="both"/>
      </w:pPr>
      <w:r>
        <w:t xml:space="preserve"> </w:t>
      </w:r>
    </w:p>
    <w:p w14:paraId="6D3325DB" w14:textId="77777777" w:rsidR="00314E67" w:rsidRDefault="00000000">
      <w:pPr>
        <w:spacing w:after="100"/>
        <w:rPr>
          <w:i/>
        </w:rPr>
      </w:pPr>
      <w:r>
        <w:rPr>
          <w:b/>
          <w:bCs/>
          <w:color w:val="222222"/>
        </w:rPr>
        <w:t xml:space="preserve">Keywords: </w:t>
      </w:r>
      <w:r>
        <w:rPr>
          <w:i/>
        </w:rPr>
        <w:t>Cambodia GDP, World Development Indicators, time-series analysis, missing value imputation, linear extrapolation, CAGR, SDG 8, economic growth, data preprocessing</w:t>
      </w:r>
    </w:p>
    <w:p w14:paraId="5E4035A6" w14:textId="77777777" w:rsidR="00314E67" w:rsidRDefault="00314E67">
      <w:pPr>
        <w:spacing w:after="100"/>
      </w:pPr>
    </w:p>
    <w:p w14:paraId="6056FB24" w14:textId="77777777" w:rsidR="00314E67" w:rsidRDefault="00000000">
      <w:pPr>
        <w:pStyle w:val="Heading1"/>
        <w:pBdr>
          <w:bottom w:val="single" w:sz="8" w:space="4" w:color="2E5FA3"/>
        </w:pBdr>
        <w:rPr>
          <w:kern w:val="36"/>
        </w:rPr>
      </w:pPr>
      <w:bookmarkStart w:id="1" w:name="sec-2-introduction"/>
      <w:r>
        <w:t>2 — Introduction</w:t>
      </w:r>
      <w:bookmarkEnd w:id="1"/>
    </w:p>
    <w:p w14:paraId="03ED8C1E" w14:textId="77777777" w:rsidR="00314E67" w:rsidRDefault="00000000">
      <w:pPr>
        <w:pStyle w:val="Heading2"/>
      </w:pPr>
      <w:bookmarkStart w:id="2" w:name="sec-2-1"/>
      <w:r>
        <w:t>2.1  Background &amp; Motivation</w:t>
      </w:r>
      <w:bookmarkEnd w:id="2"/>
    </w:p>
    <w:p w14:paraId="4B250DED" w14:textId="77777777" w:rsidR="00314E67" w:rsidRDefault="00000000">
      <w:pPr>
        <w:spacing w:after="100"/>
        <w:jc w:val="both"/>
        <w:rPr>
          <w:color w:val="222222"/>
        </w:rPr>
      </w:pPr>
      <w:r>
        <w:rPr>
          <w:color w:val="222222"/>
        </w:rPr>
        <w:t xml:space="preserve">      Economic growth plays a critical role in improving living standards, reducing poverty, creating employment opportunities, and supporting national development. Gross Domestic Product (GDP) growth is widely used as a key indicator to measure the economic performance of a country. A higher GDP growth rate generally indicates increased production, investment, and economic activity, while slower GDP growth may reflect economic challenges or structural weaknesses.</w:t>
      </w:r>
    </w:p>
    <w:p w14:paraId="67940B52" w14:textId="77777777" w:rsidR="00314E67" w:rsidRDefault="00000000">
      <w:pPr>
        <w:spacing w:after="100"/>
        <w:jc w:val="both"/>
        <w:rPr>
          <w:color w:val="222222"/>
        </w:rPr>
      </w:pPr>
      <w:r>
        <w:rPr>
          <w:color w:val="222222"/>
        </w:rPr>
        <w:t xml:space="preserve">      Over the past several decades, Cambodia has experienced remarkable economic development and has become one of the fastest-growing economies in Southeast Asia. The country's growth has been supported by factors such as foreign direct investment, international trade, tourism, industrial development, and infrastructure expansion. Despite this progress, Cambodia's GDP growth has not remained constant. Various economic shocks, changes in global market conditions, fluctuations in trade, and domestic challenges have contributed to periods of slower economic growth.</w:t>
      </w:r>
    </w:p>
    <w:p w14:paraId="35833AE8" w14:textId="77777777" w:rsidR="00314E67" w:rsidRDefault="00000000">
      <w:pPr>
        <w:spacing w:after="100"/>
        <w:jc w:val="both"/>
        <w:rPr>
          <w:color w:val="222222"/>
        </w:rPr>
      </w:pPr>
      <w:r>
        <w:rPr>
          <w:color w:val="222222"/>
        </w:rPr>
        <w:lastRenderedPageBreak/>
        <w:t>Understanding the factors associated with GDP growth is important for both policymakers and researchers. Economic indicators such as investment, exports, imports, inflation, government expenditure, and labor productivity may influence economic performance in different ways. Analyzing these relationships can help identify potential causes of slow GDP growth and provide valuable insights for future economic planning.</w:t>
      </w:r>
    </w:p>
    <w:p w14:paraId="0677A243" w14:textId="77777777" w:rsidR="00314E67" w:rsidRDefault="00000000">
      <w:pPr>
        <w:spacing w:after="100"/>
        <w:jc w:val="both"/>
        <w:rPr>
          <w:color w:val="222222"/>
        </w:rPr>
      </w:pPr>
      <w:r>
        <w:rPr>
          <w:color w:val="222222"/>
        </w:rPr>
        <w:t xml:space="preserve">     This study uses historical economic data obtained from the World Bank to investigate the causes and effects of slow GDP growth in Cambodia. Through data analysis and machine learning techniques, the study aims to identify important economic indicators associated with GDP growth and evaluate their relationships over time.</w:t>
      </w:r>
    </w:p>
    <w:p w14:paraId="36989EDC" w14:textId="77777777" w:rsidR="00314E67" w:rsidRDefault="00314E67">
      <w:pPr>
        <w:spacing w:after="100"/>
      </w:pPr>
    </w:p>
    <w:p w14:paraId="18133272" w14:textId="77777777" w:rsidR="00314E67" w:rsidRDefault="00000000">
      <w:pPr>
        <w:pStyle w:val="Heading2"/>
      </w:pPr>
      <w:bookmarkStart w:id="3" w:name="sec-2-2"/>
      <w:r>
        <w:t>2.2  Problem Statement</w:t>
      </w:r>
      <w:bookmarkEnd w:id="3"/>
    </w:p>
    <w:p w14:paraId="3382EEB2" w14:textId="77777777" w:rsidR="00314E67" w:rsidRDefault="00000000">
      <w:pPr>
        <w:spacing w:after="100"/>
        <w:jc w:val="both"/>
        <w:rPr>
          <w:color w:val="222222"/>
        </w:rPr>
      </w:pPr>
      <w:r>
        <w:rPr>
          <w:color w:val="222222"/>
        </w:rPr>
        <w:t xml:space="preserve">      Although Cambodia has achieved substantial economic growth over the past decades, GDP growth rates have varied significantly across different periods. Economic uncertainty, fluctuations in foreign investment, changes in trade performance, inflation, and productivity challenges may contribute to slower economic growth. However, the relative influence of these factors on Cambodia's GDP growth remains unclear.</w:t>
      </w:r>
    </w:p>
    <w:p w14:paraId="410BEDBE" w14:textId="77777777" w:rsidR="00314E67" w:rsidRDefault="00000000">
      <w:pPr>
        <w:spacing w:after="100"/>
        <w:jc w:val="both"/>
        <w:rPr>
          <w:color w:val="222222"/>
        </w:rPr>
      </w:pPr>
      <w:r>
        <w:rPr>
          <w:color w:val="222222"/>
        </w:rPr>
        <w:t xml:space="preserve">     Without a comprehensive analysis of historical economic indicators, it is difficult to identify which factors are most strongly associated with GDP growth. Therefore, there is a need to investigate the relationships between GDP growth and key economic indicators using data-driven approaches. This study seeks to address this gap by analyzing historical World Bank data and applying machine learning regression models to better understand the factors associated with slow GDP growth in Cambodia.</w:t>
      </w:r>
    </w:p>
    <w:p w14:paraId="01AC6C04" w14:textId="77777777" w:rsidR="00314E67" w:rsidRDefault="00314E67"/>
    <w:p w14:paraId="4EB88EB3" w14:textId="77777777" w:rsidR="00314E67" w:rsidRDefault="00000000">
      <w:pPr>
        <w:pStyle w:val="Heading2"/>
      </w:pPr>
      <w:bookmarkStart w:id="4" w:name="sec-2-3"/>
      <w:r>
        <w:t>2.3  Research Objectives &amp; Questions</w:t>
      </w:r>
      <w:bookmarkEnd w:id="4"/>
    </w:p>
    <w:p w14:paraId="19473A2E" w14:textId="77777777" w:rsidR="00314E67" w:rsidRDefault="00000000">
      <w:pPr>
        <w:spacing w:after="100"/>
      </w:pPr>
      <w:r>
        <w:rPr>
          <w:color w:val="222222"/>
        </w:rPr>
        <w:t>The following research objectives and corresponding questions guide this study:</w:t>
      </w:r>
    </w:p>
    <w:p w14:paraId="5C8FB653" w14:textId="77777777" w:rsidR="00314E67" w:rsidRDefault="00000000">
      <w:pPr>
        <w:spacing w:before="40"/>
      </w:pPr>
      <w:r>
        <w:t xml:space="preserve"> </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2"/>
        <w:gridCol w:w="3709"/>
        <w:gridCol w:w="5019"/>
      </w:tblGrid>
      <w:tr w:rsidR="00314E67" w14:paraId="0EDFD9AA" w14:textId="77777777">
        <w:tc>
          <w:tcPr>
            <w:tcW w:w="632" w:type="dxa"/>
            <w:tcBorders>
              <w:top w:val="single" w:sz="2" w:space="0" w:color="AACDE8"/>
              <w:left w:val="single" w:sz="2" w:space="0" w:color="AACDE8"/>
              <w:bottom w:val="single" w:sz="2" w:space="0" w:color="AACDE8"/>
              <w:right w:val="single" w:sz="2" w:space="0" w:color="AACDE8"/>
            </w:tcBorders>
            <w:shd w:val="clear" w:color="auto" w:fill="1F3864"/>
            <w:tcMar>
              <w:top w:w="80" w:type="dxa"/>
              <w:left w:w="110" w:type="dxa"/>
              <w:bottom w:w="80" w:type="dxa"/>
              <w:right w:w="110" w:type="dxa"/>
            </w:tcMar>
          </w:tcPr>
          <w:p w14:paraId="10527029" w14:textId="77777777" w:rsidR="00314E67" w:rsidRDefault="00000000">
            <w:r>
              <w:rPr>
                <w:b/>
                <w:bCs/>
                <w:color w:val="FFFFFF"/>
                <w:sz w:val="20"/>
                <w:szCs w:val="20"/>
              </w:rPr>
              <w:t>#</w:t>
            </w:r>
          </w:p>
        </w:tc>
        <w:tc>
          <w:tcPr>
            <w:tcW w:w="3709"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45A59ED9" w14:textId="77777777" w:rsidR="00314E67" w:rsidRDefault="00000000">
            <w:r>
              <w:rPr>
                <w:b/>
                <w:bCs/>
                <w:color w:val="FFFFFF"/>
                <w:sz w:val="20"/>
                <w:szCs w:val="20"/>
              </w:rPr>
              <w:t>Research Objective</w:t>
            </w:r>
          </w:p>
        </w:tc>
        <w:tc>
          <w:tcPr>
            <w:tcW w:w="5019"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7DCBCF62" w14:textId="77777777" w:rsidR="00314E67" w:rsidRDefault="00000000">
            <w:r>
              <w:rPr>
                <w:b/>
                <w:bCs/>
                <w:color w:val="FFFFFF"/>
                <w:sz w:val="20"/>
                <w:szCs w:val="20"/>
              </w:rPr>
              <w:t>Research Question</w:t>
            </w:r>
          </w:p>
        </w:tc>
      </w:tr>
      <w:tr w:rsidR="00314E67" w14:paraId="44C30823" w14:textId="77777777">
        <w:tc>
          <w:tcPr>
            <w:tcW w:w="632"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3CAE1A5C" w14:textId="77777777" w:rsidR="00314E67" w:rsidRDefault="00000000">
            <w:r>
              <w:rPr>
                <w:color w:val="333333"/>
                <w:sz w:val="20"/>
                <w:szCs w:val="20"/>
              </w:rPr>
              <w:t>RO1</w:t>
            </w:r>
          </w:p>
        </w:tc>
        <w:tc>
          <w:tcPr>
            <w:tcW w:w="370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7E361FD3" w14:textId="77777777" w:rsidR="00314E67" w:rsidRDefault="00000000">
            <w:r>
              <w:rPr>
                <w:color w:val="333333"/>
                <w:sz w:val="20"/>
                <w:szCs w:val="20"/>
              </w:rPr>
              <w:t>To analyze historical GDP growth trends in Cambodia from 1990 to 2025.</w:t>
            </w:r>
          </w:p>
        </w:tc>
        <w:tc>
          <w:tcPr>
            <w:tcW w:w="501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7D6FCAC6" w14:textId="77777777" w:rsidR="00314E67" w:rsidRDefault="00000000">
            <w:r>
              <w:rPr>
                <w:color w:val="333333"/>
                <w:sz w:val="20"/>
                <w:szCs w:val="20"/>
              </w:rPr>
              <w:t>RQ1: How has Cambodia's GDP growth changed over time?</w:t>
            </w:r>
          </w:p>
        </w:tc>
      </w:tr>
      <w:tr w:rsidR="00314E67" w14:paraId="348B8924" w14:textId="77777777">
        <w:tc>
          <w:tcPr>
            <w:tcW w:w="632"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091C0A73" w14:textId="77777777" w:rsidR="00314E67" w:rsidRDefault="00000000">
            <w:r>
              <w:rPr>
                <w:color w:val="333333"/>
                <w:sz w:val="20"/>
                <w:szCs w:val="20"/>
              </w:rPr>
              <w:t>RO2</w:t>
            </w:r>
          </w:p>
        </w:tc>
        <w:tc>
          <w:tcPr>
            <w:tcW w:w="3709"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13C98831" w14:textId="77777777" w:rsidR="00314E67" w:rsidRDefault="00000000">
            <w:r>
              <w:rPr>
                <w:color w:val="333333"/>
                <w:sz w:val="20"/>
                <w:szCs w:val="20"/>
              </w:rPr>
              <w:t>To examine the relationships between GDP growth and selected economic indicators.</w:t>
            </w:r>
          </w:p>
        </w:tc>
        <w:tc>
          <w:tcPr>
            <w:tcW w:w="5019"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357A6BEF" w14:textId="77777777" w:rsidR="00314E67" w:rsidRDefault="00000000">
            <w:r>
              <w:rPr>
                <w:color w:val="333333"/>
                <w:sz w:val="20"/>
                <w:szCs w:val="20"/>
              </w:rPr>
              <w:t>RQ2: Which economic indicators are associated with GDP growth in Cambodia?</w:t>
            </w:r>
          </w:p>
        </w:tc>
      </w:tr>
      <w:tr w:rsidR="00314E67" w14:paraId="767D34E7" w14:textId="77777777">
        <w:tc>
          <w:tcPr>
            <w:tcW w:w="632"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6818F155" w14:textId="77777777" w:rsidR="00314E67" w:rsidRDefault="00000000">
            <w:r>
              <w:rPr>
                <w:color w:val="333333"/>
                <w:sz w:val="20"/>
                <w:szCs w:val="20"/>
              </w:rPr>
              <w:t>RO3</w:t>
            </w:r>
          </w:p>
        </w:tc>
        <w:tc>
          <w:tcPr>
            <w:tcW w:w="370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FEF401E" w14:textId="77777777" w:rsidR="00314E67" w:rsidRDefault="00000000">
            <w:r>
              <w:rPr>
                <w:color w:val="333333"/>
                <w:sz w:val="20"/>
                <w:szCs w:val="20"/>
              </w:rPr>
              <w:t>To identify factors associated with periods of slow GDP growth..</w:t>
            </w:r>
          </w:p>
        </w:tc>
        <w:tc>
          <w:tcPr>
            <w:tcW w:w="501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87B8A80" w14:textId="77777777" w:rsidR="00314E67" w:rsidRDefault="00000000">
            <w:r>
              <w:rPr>
                <w:color w:val="333333"/>
                <w:sz w:val="20"/>
                <w:szCs w:val="20"/>
              </w:rPr>
              <w:t>RQ3: What relationships exist among the selected economic variables?</w:t>
            </w:r>
          </w:p>
        </w:tc>
      </w:tr>
      <w:tr w:rsidR="00314E67" w14:paraId="6BC9E9A4" w14:textId="77777777">
        <w:tc>
          <w:tcPr>
            <w:tcW w:w="632" w:type="dxa"/>
            <w:tcBorders>
              <w:top w:val="single" w:sz="2" w:space="0" w:color="AACDE8"/>
              <w:left w:val="single" w:sz="2" w:space="0" w:color="AACDE8"/>
              <w:bottom w:val="single" w:sz="2" w:space="0" w:color="AACDE8"/>
              <w:right w:val="single" w:sz="2" w:space="0" w:color="AACDE8"/>
            </w:tcBorders>
            <w:shd w:val="clear" w:color="auto" w:fill="F1F1F1"/>
            <w:tcMar>
              <w:top w:w="70" w:type="dxa"/>
              <w:left w:w="110" w:type="dxa"/>
              <w:bottom w:w="70" w:type="dxa"/>
              <w:right w:w="110" w:type="dxa"/>
            </w:tcMar>
          </w:tcPr>
          <w:p w14:paraId="3C636B0B" w14:textId="77777777" w:rsidR="00314E67" w:rsidRDefault="00000000">
            <w:pPr>
              <w:rPr>
                <w:color w:val="333333"/>
                <w:sz w:val="20"/>
                <w:szCs w:val="20"/>
              </w:rPr>
            </w:pPr>
            <w:r>
              <w:rPr>
                <w:color w:val="333333"/>
                <w:sz w:val="20"/>
                <w:szCs w:val="20"/>
              </w:rPr>
              <w:t>RO4</w:t>
            </w:r>
          </w:p>
        </w:tc>
        <w:tc>
          <w:tcPr>
            <w:tcW w:w="3709" w:type="dxa"/>
            <w:tcBorders>
              <w:top w:val="single" w:sz="2" w:space="0" w:color="AACDE8"/>
              <w:left w:val="nil"/>
              <w:bottom w:val="single" w:sz="2" w:space="0" w:color="AACDE8"/>
              <w:right w:val="single" w:sz="2" w:space="0" w:color="AACDE8"/>
            </w:tcBorders>
            <w:shd w:val="clear" w:color="auto" w:fill="F1F1F1"/>
            <w:tcMar>
              <w:top w:w="70" w:type="dxa"/>
              <w:left w:w="110" w:type="dxa"/>
              <w:bottom w:w="70" w:type="dxa"/>
              <w:right w:w="110" w:type="dxa"/>
            </w:tcMar>
          </w:tcPr>
          <w:p w14:paraId="4D0E58D7" w14:textId="77777777" w:rsidR="00314E67" w:rsidRDefault="00000000">
            <w:pPr>
              <w:rPr>
                <w:color w:val="333333"/>
                <w:sz w:val="20"/>
                <w:szCs w:val="20"/>
              </w:rPr>
            </w:pPr>
            <w:r>
              <w:rPr>
                <w:color w:val="333333"/>
                <w:sz w:val="20"/>
                <w:szCs w:val="20"/>
              </w:rPr>
              <w:t>To develop and compare multiple regression models for GDP growth analysis.</w:t>
            </w:r>
          </w:p>
        </w:tc>
        <w:tc>
          <w:tcPr>
            <w:tcW w:w="5019" w:type="dxa"/>
            <w:tcBorders>
              <w:top w:val="single" w:sz="2" w:space="0" w:color="AACDE8"/>
              <w:left w:val="nil"/>
              <w:bottom w:val="single" w:sz="2" w:space="0" w:color="AACDE8"/>
              <w:right w:val="single" w:sz="2" w:space="0" w:color="AACDE8"/>
            </w:tcBorders>
            <w:shd w:val="clear" w:color="auto" w:fill="F1F1F1"/>
            <w:tcMar>
              <w:top w:w="70" w:type="dxa"/>
              <w:left w:w="110" w:type="dxa"/>
              <w:bottom w:w="70" w:type="dxa"/>
              <w:right w:w="110" w:type="dxa"/>
            </w:tcMar>
          </w:tcPr>
          <w:p w14:paraId="3A7313C3" w14:textId="77777777" w:rsidR="00314E67" w:rsidRDefault="00000000">
            <w:pPr>
              <w:rPr>
                <w:color w:val="333333"/>
                <w:sz w:val="20"/>
                <w:szCs w:val="20"/>
              </w:rPr>
            </w:pPr>
            <w:r>
              <w:rPr>
                <w:color w:val="333333"/>
                <w:sz w:val="20"/>
                <w:szCs w:val="20"/>
              </w:rPr>
              <w:t>RQ4: Which regression model provides the best performance for GDP growth analysis?</w:t>
            </w:r>
          </w:p>
        </w:tc>
      </w:tr>
      <w:tr w:rsidR="00314E67" w14:paraId="35FA1ECA" w14:textId="77777777">
        <w:tc>
          <w:tcPr>
            <w:tcW w:w="632"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3C15358F" w14:textId="77777777" w:rsidR="00314E67" w:rsidRDefault="00000000">
            <w:pPr>
              <w:rPr>
                <w:color w:val="333333"/>
                <w:sz w:val="20"/>
                <w:szCs w:val="20"/>
              </w:rPr>
            </w:pPr>
            <w:r>
              <w:rPr>
                <w:color w:val="333333"/>
                <w:sz w:val="20"/>
                <w:szCs w:val="20"/>
              </w:rPr>
              <w:t>RO5</w:t>
            </w:r>
          </w:p>
        </w:tc>
        <w:tc>
          <w:tcPr>
            <w:tcW w:w="370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4B487E4" w14:textId="77777777" w:rsidR="00314E67" w:rsidRDefault="00000000">
            <w:pPr>
              <w:rPr>
                <w:color w:val="333333"/>
                <w:sz w:val="20"/>
                <w:szCs w:val="20"/>
              </w:rPr>
            </w:pPr>
            <w:r>
              <w:rPr>
                <w:color w:val="333333"/>
                <w:sz w:val="20"/>
                <w:szCs w:val="20"/>
              </w:rPr>
              <w:t>To determine the most suitable regression model for the dataset.</w:t>
            </w:r>
          </w:p>
        </w:tc>
        <w:tc>
          <w:tcPr>
            <w:tcW w:w="5019"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6CCE009B" w14:textId="77777777" w:rsidR="00314E67" w:rsidRDefault="00000000">
            <w:pPr>
              <w:rPr>
                <w:color w:val="333333"/>
                <w:sz w:val="20"/>
                <w:szCs w:val="20"/>
              </w:rPr>
            </w:pPr>
            <w:r>
              <w:rPr>
                <w:color w:val="333333"/>
                <w:sz w:val="20"/>
                <w:szCs w:val="20"/>
              </w:rPr>
              <w:t>RQ5:</w:t>
            </w:r>
            <w:r>
              <w:t xml:space="preserve"> </w:t>
            </w:r>
            <w:r>
              <w:rPr>
                <w:color w:val="333333"/>
                <w:sz w:val="20"/>
                <w:szCs w:val="20"/>
              </w:rPr>
              <w:t>What insights can be obtained regarding the causes and effects of slow GDP growth in Cambodia?</w:t>
            </w:r>
          </w:p>
        </w:tc>
      </w:tr>
    </w:tbl>
    <w:p w14:paraId="577BF530" w14:textId="77777777" w:rsidR="00314E67" w:rsidRDefault="00314E67"/>
    <w:p w14:paraId="497A090E" w14:textId="77777777" w:rsidR="00314E67" w:rsidRDefault="00314E67"/>
    <w:p w14:paraId="69BA3706" w14:textId="77777777" w:rsidR="00314E67" w:rsidRDefault="00314E67">
      <w:pPr>
        <w:pStyle w:val="Heading2"/>
      </w:pPr>
    </w:p>
    <w:p w14:paraId="27DDD253" w14:textId="77777777" w:rsidR="00314E67" w:rsidRDefault="00314E67">
      <w:pPr>
        <w:pStyle w:val="Heading2"/>
      </w:pPr>
    </w:p>
    <w:p w14:paraId="03DA7846" w14:textId="77777777" w:rsidR="00314E67" w:rsidRDefault="00314E67">
      <w:pPr>
        <w:pStyle w:val="Heading2"/>
      </w:pPr>
    </w:p>
    <w:p w14:paraId="6F44B8CB" w14:textId="77777777" w:rsidR="00314E67" w:rsidRDefault="00000000">
      <w:pPr>
        <w:pStyle w:val="Heading2"/>
      </w:pPr>
      <w:bookmarkStart w:id="5" w:name="sec-2-4"/>
      <w:r>
        <w:t>2.4  Significance &amp; Expected Impact</w:t>
      </w:r>
      <w:bookmarkEnd w:id="5"/>
    </w:p>
    <w:p w14:paraId="3A7239C2" w14:textId="77777777" w:rsidR="00314E67" w:rsidRDefault="00314E67"/>
    <w:p w14:paraId="4B1EA49D" w14:textId="77777777" w:rsidR="00314E67" w:rsidRDefault="00000000">
      <w:pPr>
        <w:jc w:val="both"/>
      </w:pPr>
      <w:r>
        <w:t xml:space="preserve">      The significance of this project lies in its ability to leverage historical economic data—including key indicators such as exports, foreign direct investment (FDI), inflation, and gross investment—to build predictive models for GDP growth. By utilizing machine learning techniques like linear regression, Ridge, and Lasso, this research provides a framework for understanding the complex interdependencies between various macroeconomic factors and national economic performance. The expected impact of this study is to offer a data-driven tool that can assist policymakers and analysts in forecasting economic trends, thereby supporting more informed decision-making processes regarding economic development, investment strategies, and fiscal planning. Furthermore, the methodology demonstrates the efficacy of data preprocessing and model evaluation, such as using R² scoring to validate predictive accuracy, which enhances the reliability of economic forecasting in volatile environments.</w:t>
      </w:r>
    </w:p>
    <w:p w14:paraId="719DEC68" w14:textId="77777777" w:rsidR="00314E67" w:rsidRDefault="00314E67">
      <w:pPr>
        <w:jc w:val="both"/>
      </w:pPr>
    </w:p>
    <w:p w14:paraId="528335A9" w14:textId="77777777" w:rsidR="00314E67" w:rsidRDefault="00000000">
      <w:pPr>
        <w:pStyle w:val="Heading2"/>
      </w:pPr>
      <w:bookmarkStart w:id="6" w:name="sec-2-5"/>
      <w:r>
        <w:t>2.5  Report Structure</w:t>
      </w:r>
      <w:bookmarkEnd w:id="6"/>
    </w:p>
    <w:p w14:paraId="0EAE732F" w14:textId="77777777" w:rsidR="00314E67" w:rsidRDefault="00000000">
      <w:pPr>
        <w:jc w:val="both"/>
      </w:pPr>
      <w:r>
        <w:t xml:space="preserve">       This report is organized to guide the reader through the systematic development and evaluation of the GDP growth predictive model. It begins with an introduction outlining the research objective, followed by a comprehensive data exploration section where the dataset—containing variables such as exports, FDI, inflation, and investment—is analyzed to identify key trends and correlations. The subsequent methodology section details the data preprocessing steps, including feature selection and the application of standard scaling to ensure model robustness. The core of the report focuses on the implementation and comparison of three machine learning models: Linear Regression, Ridge, and Lasso. Each model’s performance is quantitatively assessed using the $R^2$ score on both training and testing datasets to determine predictive reliability. Finally, the report concludes by summarizing the findings, discussing the implications of the results for economic forecasting, and suggesting potential directions for future research.</w:t>
      </w:r>
    </w:p>
    <w:p w14:paraId="55857CEF" w14:textId="77777777" w:rsidR="00314E67" w:rsidRDefault="00314E67">
      <w:pPr>
        <w:jc w:val="both"/>
      </w:pPr>
    </w:p>
    <w:p w14:paraId="7D16B2C3" w14:textId="77777777" w:rsidR="00314E67" w:rsidRDefault="00000000">
      <w:pPr>
        <w:pStyle w:val="Heading1"/>
        <w:pBdr>
          <w:bottom w:val="single" w:sz="8" w:space="4" w:color="2E5FA3"/>
        </w:pBdr>
        <w:rPr>
          <w:kern w:val="36"/>
        </w:rPr>
      </w:pPr>
      <w:bookmarkStart w:id="7" w:name="sec-3-litreview"/>
      <w:r>
        <w:t>3 — Literature Review</w:t>
      </w:r>
      <w:bookmarkEnd w:id="7"/>
    </w:p>
    <w:p w14:paraId="6AD4F027" w14:textId="77777777" w:rsidR="00314E67" w:rsidRDefault="00000000">
      <w:pPr>
        <w:pStyle w:val="Heading2"/>
      </w:pPr>
      <w:bookmarkStart w:id="8" w:name="sec-3-1"/>
      <w:r>
        <w:t>3.1  Overview of Related Work</w:t>
      </w:r>
      <w:bookmarkEnd w:id="8"/>
    </w:p>
    <w:p w14:paraId="060DF831" w14:textId="77777777" w:rsidR="00314E67" w:rsidRDefault="00000000">
      <w:pPr>
        <w:spacing w:after="120"/>
        <w:jc w:val="both"/>
      </w:pPr>
      <w:r>
        <w:t xml:space="preserve">        GDP forecasting is a well-established domain in econometrics and machine learning. Traditional approaches rely on univariate time-series models such as Auto-Regressive Integrated Moving Average (ARIMA) (Box &amp; Jenkins, 1976), which captures linear temporal dependencies in GDP growth rates. More sophisticated multivariate methods include Vector Auto-Regression (VAR) (Sims, 1980), which models interactions among multiple economic indicators simultaneously. In the machine learning paradigm, studies have applied Random Forest, Gradient Boosting, and Long Short-Term Memory (LSTM) networks to GDP prediction tasks, often achieving higher accuracy than linear models when sufficient data is available.</w:t>
      </w:r>
    </w:p>
    <w:p w14:paraId="60F71231" w14:textId="77777777" w:rsidR="00314E67" w:rsidRDefault="00000000">
      <w:pPr>
        <w:spacing w:after="120"/>
        <w:jc w:val="both"/>
      </w:pPr>
      <w:r>
        <w:t xml:space="preserve">        A seminal study by Hassan et al. (2017) used ARIMA to forecast GDP growth in Bangladesh, a country with a similar development trajectory to Cambodia, and found that a simple ARIMA(1,1,1) model captured growth trends effectively. In the Southeast Asian context, Khairi et al. (2020) compared ARIMA and Neural Network models for Malaysia’s GDP, finding that hybrid approaches outperformed individual models. More recently, Chheng (2023) applied VAR modeling to Cambodia’s macroeconomic data (2000–2021) </w:t>
      </w:r>
      <w:r>
        <w:lastRenderedPageBreak/>
        <w:t>and identified foreign direct investment and export growth as the dominant drivers of GDP variation.</w:t>
      </w:r>
    </w:p>
    <w:p w14:paraId="0181C9F5" w14:textId="77777777" w:rsidR="00314E67" w:rsidRDefault="00000000">
      <w:pPr>
        <w:spacing w:after="120"/>
        <w:jc w:val="both"/>
      </w:pPr>
      <w:r>
        <w:t xml:space="preserve">       Missing data imputation is a critical preprocessing step for economic time series. Little and Rubin (2019) provide a comprehensive taxonomy of missing data mechanisms (MCAR, MAR, MNAR) and imputation strategies. For economic data specifically, Moritz et al. (2015) compared linear interpolation, Kalman filtering, and seasonal decomposition on macroeconomic datasets, concluding that linear interpolation performs adequately for smooth series (e.g., consumption as % of GDP) while more sophisticated methods are needed for volatile series (e.g., inflation, FDI flows). Lee &amp; Fink (2023) applied multiple imputation with expectation-maximization (EM) to fill gaps in developing-country GDP data, though they noted that backward extrapolation introduces higher uncertainty than interpolation.</w:t>
      </w:r>
    </w:p>
    <w:p w14:paraId="6B2D5B8C" w14:textId="77777777" w:rsidR="00314E67" w:rsidRDefault="00314E67">
      <w:pPr>
        <w:jc w:val="both"/>
      </w:pPr>
    </w:p>
    <w:p w14:paraId="461DF5C2" w14:textId="77777777" w:rsidR="00314E67" w:rsidRDefault="00000000">
      <w:pPr>
        <w:pStyle w:val="Heading2"/>
      </w:pPr>
      <w:bookmarkStart w:id="9" w:name="sec-3-2"/>
      <w:r>
        <w:t>3.2  Comparison of Existing Approaches</w:t>
      </w:r>
      <w:bookmarkEnd w:id="9"/>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000"/>
        <w:gridCol w:w="1680"/>
        <w:gridCol w:w="1880"/>
      </w:tblGrid>
      <w:tr w:rsidR="00314E67" w14:paraId="29CBD98B" w14:textId="77777777">
        <w:tc>
          <w:tcPr>
            <w:tcW w:w="1600" w:type="dxa"/>
            <w:tcBorders>
              <w:top w:val="single" w:sz="2" w:space="0" w:color="AACDE8"/>
              <w:left w:val="single" w:sz="2" w:space="0" w:color="AACDE8"/>
              <w:bottom w:val="single" w:sz="2" w:space="0" w:color="AACDE8"/>
              <w:right w:val="single" w:sz="2" w:space="0" w:color="AACDE8"/>
            </w:tcBorders>
            <w:shd w:val="clear" w:color="auto" w:fill="1F3864"/>
            <w:tcMar>
              <w:top w:w="80" w:type="dxa"/>
              <w:left w:w="110" w:type="dxa"/>
              <w:bottom w:w="80" w:type="dxa"/>
              <w:right w:w="110" w:type="dxa"/>
            </w:tcMar>
          </w:tcPr>
          <w:p w14:paraId="0669E813" w14:textId="77777777" w:rsidR="00314E67" w:rsidRDefault="00000000">
            <w:r>
              <w:rPr>
                <w:b/>
                <w:bCs/>
                <w:color w:val="FFFFFF"/>
                <w:sz w:val="20"/>
                <w:szCs w:val="20"/>
              </w:rPr>
              <w:t>Study</w:t>
            </w:r>
          </w:p>
        </w:tc>
        <w:tc>
          <w:tcPr>
            <w:tcW w:w="2200"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27F8D727" w14:textId="77777777" w:rsidR="00314E67" w:rsidRDefault="00000000">
            <w:r>
              <w:rPr>
                <w:b/>
                <w:bCs/>
                <w:color w:val="FFFFFF"/>
                <w:sz w:val="20"/>
                <w:szCs w:val="20"/>
              </w:rPr>
              <w:t>Dataset</w:t>
            </w:r>
          </w:p>
        </w:tc>
        <w:tc>
          <w:tcPr>
            <w:tcW w:w="2000"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1062BA21" w14:textId="77777777" w:rsidR="00314E67" w:rsidRDefault="00000000">
            <w:r>
              <w:rPr>
                <w:b/>
                <w:bCs/>
                <w:color w:val="FFFFFF"/>
                <w:sz w:val="20"/>
                <w:szCs w:val="20"/>
              </w:rPr>
              <w:t>Methods</w:t>
            </w:r>
          </w:p>
        </w:tc>
        <w:tc>
          <w:tcPr>
            <w:tcW w:w="1680"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368B37FD" w14:textId="77777777" w:rsidR="00314E67" w:rsidRDefault="00000000">
            <w:r>
              <w:rPr>
                <w:b/>
                <w:bCs/>
                <w:color w:val="FFFFFF"/>
                <w:sz w:val="20"/>
                <w:szCs w:val="20"/>
              </w:rPr>
              <w:t>Best Metric</w:t>
            </w:r>
          </w:p>
        </w:tc>
        <w:tc>
          <w:tcPr>
            <w:tcW w:w="1880"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15EFC100" w14:textId="77777777" w:rsidR="00314E67" w:rsidRDefault="00000000">
            <w:r>
              <w:rPr>
                <w:b/>
                <w:bCs/>
                <w:color w:val="FFFFFF"/>
                <w:sz w:val="20"/>
                <w:szCs w:val="20"/>
              </w:rPr>
              <w:t>Key Limitation</w:t>
            </w:r>
          </w:p>
        </w:tc>
      </w:tr>
      <w:tr w:rsidR="00314E67" w14:paraId="0E4E56DA" w14:textId="77777777">
        <w:tc>
          <w:tcPr>
            <w:tcW w:w="16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0C657A59" w14:textId="77777777" w:rsidR="00314E67" w:rsidRDefault="00000000">
            <w:r>
              <w:rPr>
                <w:sz w:val="20"/>
                <w:szCs w:val="20"/>
              </w:rPr>
              <w:t>Hassan et al. (2017)</w:t>
            </w:r>
          </w:p>
        </w:tc>
        <w:tc>
          <w:tcPr>
            <w:tcW w:w="22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2C135B6F" w14:textId="77777777" w:rsidR="00314E67" w:rsidRDefault="00000000">
            <w:r>
              <w:rPr>
                <w:sz w:val="20"/>
                <w:szCs w:val="20"/>
              </w:rPr>
              <w:t>Bangladesh GDP, 1972–2015</w:t>
            </w:r>
          </w:p>
        </w:tc>
        <w:tc>
          <w:tcPr>
            <w:tcW w:w="20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7DA78684" w14:textId="77777777" w:rsidR="00314E67" w:rsidRDefault="00000000">
            <w:r>
              <w:rPr>
                <w:sz w:val="20"/>
                <w:szCs w:val="20"/>
              </w:rPr>
              <w:t>ARIMA</w:t>
            </w:r>
          </w:p>
        </w:tc>
        <w:tc>
          <w:tcPr>
            <w:tcW w:w="16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EE063F3" w14:textId="77777777" w:rsidR="00314E67" w:rsidRDefault="00000000">
            <w:r>
              <w:rPr>
                <w:sz w:val="20"/>
                <w:szCs w:val="20"/>
              </w:rPr>
              <w:t>RMSE: 1.21%</w:t>
            </w:r>
          </w:p>
        </w:tc>
        <w:tc>
          <w:tcPr>
            <w:tcW w:w="18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21672DA2" w14:textId="77777777" w:rsidR="00314E67" w:rsidRDefault="00000000">
            <w:r>
              <w:rPr>
                <w:sz w:val="20"/>
                <w:szCs w:val="20"/>
              </w:rPr>
              <w:t>Univariate; ignores external drivers</w:t>
            </w:r>
          </w:p>
        </w:tc>
      </w:tr>
      <w:tr w:rsidR="00314E67" w14:paraId="76E71CBF" w14:textId="77777777">
        <w:tc>
          <w:tcPr>
            <w:tcW w:w="1600"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6E66A91B" w14:textId="77777777" w:rsidR="00314E67" w:rsidRDefault="00000000">
            <w:r>
              <w:rPr>
                <w:sz w:val="20"/>
                <w:szCs w:val="20"/>
              </w:rPr>
              <w:t>Khairi et al. (2020)</w:t>
            </w:r>
          </w:p>
        </w:tc>
        <w:tc>
          <w:tcPr>
            <w:tcW w:w="220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73726EAF" w14:textId="77777777" w:rsidR="00314E67" w:rsidRDefault="00000000">
            <w:r>
              <w:rPr>
                <w:sz w:val="20"/>
                <w:szCs w:val="20"/>
              </w:rPr>
              <w:t>Malaysia GDP, 1990–2018</w:t>
            </w:r>
          </w:p>
        </w:tc>
        <w:tc>
          <w:tcPr>
            <w:tcW w:w="200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080D35C6" w14:textId="77777777" w:rsidR="00314E67" w:rsidRDefault="00000000">
            <w:r>
              <w:rPr>
                <w:sz w:val="20"/>
                <w:szCs w:val="20"/>
              </w:rPr>
              <w:t>ARIMA, Neural Network</w:t>
            </w:r>
          </w:p>
        </w:tc>
        <w:tc>
          <w:tcPr>
            <w:tcW w:w="168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7DD4ACB1" w14:textId="77777777" w:rsidR="00314E67" w:rsidRDefault="00000000">
            <w:r>
              <w:rPr>
                <w:sz w:val="20"/>
                <w:szCs w:val="20"/>
              </w:rPr>
              <w:t>MAPE: 2.34% (hybrid)</w:t>
            </w:r>
          </w:p>
        </w:tc>
        <w:tc>
          <w:tcPr>
            <w:tcW w:w="188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62F1F23E" w14:textId="77777777" w:rsidR="00314E67" w:rsidRDefault="00000000">
            <w:r>
              <w:rPr>
                <w:sz w:val="20"/>
                <w:szCs w:val="20"/>
              </w:rPr>
              <w:t>Small N (&lt; 30 years)</w:t>
            </w:r>
          </w:p>
        </w:tc>
      </w:tr>
      <w:tr w:rsidR="00314E67" w14:paraId="7331CBB8" w14:textId="77777777">
        <w:tc>
          <w:tcPr>
            <w:tcW w:w="16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1B46BEA1" w14:textId="77777777" w:rsidR="00314E67" w:rsidRDefault="00000000">
            <w:r>
              <w:rPr>
                <w:sz w:val="20"/>
                <w:szCs w:val="20"/>
              </w:rPr>
              <w:t>Chheng (2023)</w:t>
            </w:r>
          </w:p>
        </w:tc>
        <w:tc>
          <w:tcPr>
            <w:tcW w:w="22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040BE80E" w14:textId="77777777" w:rsidR="00314E67" w:rsidRDefault="00000000">
            <w:r>
              <w:rPr>
                <w:sz w:val="20"/>
                <w:szCs w:val="20"/>
              </w:rPr>
              <w:t>Cambodia macro, 2000–2021</w:t>
            </w:r>
          </w:p>
        </w:tc>
        <w:tc>
          <w:tcPr>
            <w:tcW w:w="20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57D21217" w14:textId="77777777" w:rsidR="00314E67" w:rsidRDefault="00000000">
            <w:r>
              <w:rPr>
                <w:sz w:val="20"/>
                <w:szCs w:val="20"/>
              </w:rPr>
              <w:t>VAR</w:t>
            </w:r>
          </w:p>
        </w:tc>
        <w:tc>
          <w:tcPr>
            <w:tcW w:w="16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10CCE41" w14:textId="77777777" w:rsidR="00314E67" w:rsidRDefault="00000000">
            <w:r>
              <w:rPr>
                <w:sz w:val="20"/>
                <w:szCs w:val="20"/>
              </w:rPr>
              <w:t>R²: 0.89</w:t>
            </w:r>
          </w:p>
        </w:tc>
        <w:tc>
          <w:tcPr>
            <w:tcW w:w="18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53515B8B" w14:textId="77777777" w:rsidR="00314E67" w:rsidRDefault="00000000">
            <w:r>
              <w:rPr>
                <w:sz w:val="20"/>
                <w:szCs w:val="20"/>
              </w:rPr>
              <w:t>No ML comparison; limited features</w:t>
            </w:r>
          </w:p>
        </w:tc>
      </w:tr>
      <w:tr w:rsidR="00314E67" w14:paraId="18043D81" w14:textId="77777777">
        <w:tc>
          <w:tcPr>
            <w:tcW w:w="1600"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58614515" w14:textId="77777777" w:rsidR="00314E67" w:rsidRDefault="00000000">
            <w:r>
              <w:rPr>
                <w:sz w:val="20"/>
                <w:szCs w:val="20"/>
              </w:rPr>
              <w:t>Moritz et al. (2015)</w:t>
            </w:r>
          </w:p>
        </w:tc>
        <w:tc>
          <w:tcPr>
            <w:tcW w:w="220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26A41E8E" w14:textId="77777777" w:rsidR="00314E67" w:rsidRDefault="00000000">
            <w:r>
              <w:rPr>
                <w:sz w:val="20"/>
                <w:szCs w:val="20"/>
              </w:rPr>
              <w:t>OECD macro panel</w:t>
            </w:r>
          </w:p>
        </w:tc>
        <w:tc>
          <w:tcPr>
            <w:tcW w:w="200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013504F5" w14:textId="77777777" w:rsidR="00314E67" w:rsidRDefault="00000000">
            <w:r>
              <w:rPr>
                <w:sz w:val="20"/>
                <w:szCs w:val="20"/>
              </w:rPr>
              <w:t>Linear interpolation, Kalman, TS impute</w:t>
            </w:r>
          </w:p>
        </w:tc>
        <w:tc>
          <w:tcPr>
            <w:tcW w:w="168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6A0BD689" w14:textId="77777777" w:rsidR="00314E67" w:rsidRDefault="00000000">
            <w:r>
              <w:rPr>
                <w:sz w:val="20"/>
                <w:szCs w:val="20"/>
              </w:rPr>
              <w:t>MSE on held-out</w:t>
            </w:r>
          </w:p>
        </w:tc>
        <w:tc>
          <w:tcPr>
            <w:tcW w:w="188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63323410" w14:textId="77777777" w:rsidR="00314E67" w:rsidRDefault="00000000">
            <w:r>
              <w:rPr>
                <w:sz w:val="20"/>
                <w:szCs w:val="20"/>
              </w:rPr>
              <w:t>Generic; no country-specific validation</w:t>
            </w:r>
          </w:p>
        </w:tc>
      </w:tr>
      <w:tr w:rsidR="00314E67" w14:paraId="6084C93F" w14:textId="77777777">
        <w:tc>
          <w:tcPr>
            <w:tcW w:w="16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75B842B8" w14:textId="77777777" w:rsidR="00314E67" w:rsidRDefault="00000000">
            <w:r>
              <w:rPr>
                <w:sz w:val="20"/>
                <w:szCs w:val="20"/>
              </w:rPr>
              <w:t>This Study</w:t>
            </w:r>
          </w:p>
        </w:tc>
        <w:tc>
          <w:tcPr>
            <w:tcW w:w="22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8E48A46" w14:textId="77777777" w:rsidR="00314E67" w:rsidRDefault="00000000">
            <w:r>
              <w:rPr>
                <w:sz w:val="20"/>
                <w:szCs w:val="20"/>
              </w:rPr>
              <w:t>Cambodia WDI, 1990–2024, 11 indicators</w:t>
            </w:r>
          </w:p>
        </w:tc>
        <w:tc>
          <w:tcPr>
            <w:tcW w:w="200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2997BF8" w14:textId="77777777" w:rsidR="00314E67" w:rsidRDefault="00000000">
            <w:r>
              <w:rPr>
                <w:sz w:val="20"/>
                <w:szCs w:val="20"/>
              </w:rPr>
              <w:t>Rolling mean, linear extrap., CAGR, median</w:t>
            </w:r>
          </w:p>
        </w:tc>
        <w:tc>
          <w:tcPr>
            <w:tcW w:w="16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45359915" w14:textId="77777777" w:rsidR="00314E67" w:rsidRDefault="00000000">
            <w:r>
              <w:rPr>
                <w:sz w:val="20"/>
                <w:szCs w:val="20"/>
              </w:rPr>
              <w:t>Zero missing post-imputation</w:t>
            </w:r>
          </w:p>
        </w:tc>
        <w:tc>
          <w:tcPr>
            <w:tcW w:w="188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43E991D" w14:textId="77777777" w:rsidR="00314E67" w:rsidRDefault="00000000">
            <w:r>
              <w:rPr>
                <w:sz w:val="20"/>
                <w:szCs w:val="20"/>
              </w:rPr>
              <w:t>Small sample (N=19); no model yet</w:t>
            </w:r>
          </w:p>
        </w:tc>
      </w:tr>
    </w:tbl>
    <w:p w14:paraId="61295C50" w14:textId="77777777" w:rsidR="00314E67" w:rsidRDefault="00314E67">
      <w:pPr>
        <w:spacing w:after="100"/>
        <w:jc w:val="both"/>
      </w:pPr>
    </w:p>
    <w:p w14:paraId="0AC74E85" w14:textId="77777777" w:rsidR="00314E67" w:rsidRDefault="00000000">
      <w:pPr>
        <w:pStyle w:val="Heading2"/>
      </w:pPr>
      <w:bookmarkStart w:id="10" w:name="sec-3-3"/>
      <w:r>
        <w:t>3.3  Research Gap</w:t>
      </w:r>
      <w:bookmarkEnd w:id="10"/>
    </w:p>
    <w:p w14:paraId="1B1BF58C" w14:textId="77777777" w:rsidR="00314E67" w:rsidRDefault="00314E67">
      <w:pPr>
        <w:spacing w:after="100"/>
        <w:jc w:val="both"/>
      </w:pPr>
    </w:p>
    <w:p w14:paraId="1AA7BC4D" w14:textId="77777777" w:rsidR="00314E67" w:rsidRDefault="00000000">
      <w:pPr>
        <w:jc w:val="both"/>
      </w:pPr>
      <w:r>
        <w:t xml:space="preserve">       The current study utilizes a machine learning approach to model GDP growth based on a dataset spanning 35 years, incorporating variables such as exports, foreign direct investment, inflation, net exports, gross investment, real premium, unemployment, and population growth. While this model provides a valuable quantitative baseline, several research gaps remain that could be addressed in future work. First, the analysis is constrained by a relatively small sample size of only 35 data points; expanding the dataset to include a longer historical period or cross-country panel data would significantly improve the model's generalizability and statistical power. Second, the initial dataset contained missing values, particularly in the </w:t>
      </w:r>
      <w:r>
        <w:rPr>
          <w:rStyle w:val="HTMLCode"/>
          <w:rFonts w:ascii="Arial" w:hAnsi="Arial" w:cs="Arial"/>
        </w:rPr>
        <w:t>exports_pct</w:t>
      </w:r>
      <w:r>
        <w:t xml:space="preserve"> variable, which necessitated simple imputation techniques like using the mean or median to maintain the dataset's integrity. Future research could explore more sophisticated imputation models or the collection of more granular primary data to mitigate potential biases introduced by filling in missing information. Furthermore, while the current models—Linear Regression, Ridge, and Lasso—are effective for identifying linear relationships, they may not fully capture the complex, non-linear dynamics inherent in economic systems. Consequently, future studies could investigate more advanced machine </w:t>
      </w:r>
      <w:r>
        <w:lastRenderedPageBreak/>
        <w:t>learning architectures, such as decision trees, random forests, or specialized time-series models like LSTMs, to better understand and predict the intricate fluctuations of economic performance. Finally, incorporating external qualitative "shock" variables—such as geopolitical shifts or global policy changes—could help account for non-linear influences that standard regression models often fail to capture.</w:t>
      </w:r>
    </w:p>
    <w:p w14:paraId="2FEF918B" w14:textId="77777777" w:rsidR="00314E67" w:rsidRDefault="00314E67">
      <w:pPr>
        <w:jc w:val="both"/>
      </w:pPr>
    </w:p>
    <w:p w14:paraId="14AF447C" w14:textId="77777777" w:rsidR="00314E67" w:rsidRDefault="00000000">
      <w:pPr>
        <w:pStyle w:val="Heading1"/>
        <w:pBdr>
          <w:bottom w:val="single" w:sz="8" w:space="4" w:color="2E5FA3"/>
        </w:pBdr>
        <w:rPr>
          <w:kern w:val="36"/>
        </w:rPr>
      </w:pPr>
      <w:bookmarkStart w:id="11" w:name="sec-4-datamethod"/>
      <w:r>
        <w:t>4 — Data &amp; Methodology</w:t>
      </w:r>
      <w:bookmarkEnd w:id="11"/>
    </w:p>
    <w:p w14:paraId="22E30B5C" w14:textId="77777777" w:rsidR="00314E67" w:rsidRDefault="00000000">
      <w:pPr>
        <w:pStyle w:val="Heading2"/>
      </w:pPr>
      <w:bookmarkStart w:id="12" w:name="sec-4-1"/>
      <w:r>
        <w:t>4.1  Dataset Description</w:t>
      </w:r>
      <w:bookmarkEnd w:id="12"/>
    </w:p>
    <w:p w14:paraId="7B3798BE" w14:textId="77777777" w:rsidR="00314E67" w:rsidRDefault="00314E67"/>
    <w:p w14:paraId="1EEBA670" w14:textId="77777777" w:rsidR="00314E67" w:rsidRDefault="00000000">
      <w:pPr>
        <w:jc w:val="both"/>
      </w:pPr>
      <w:r>
        <w:t xml:space="preserve">       The analysis is based on an economic dataset spanning a 35-year period, from 1990 to 2024, providing a longitudinal view of macroeconomic performance. The dataset consists of 35 entries and 10 specific variables that track various facets of the economy:</w:t>
      </w:r>
    </w:p>
    <w:p w14:paraId="515CE270" w14:textId="77777777" w:rsidR="00314E67" w:rsidRDefault="00314E67"/>
    <w:p w14:paraId="7367D506" w14:textId="77777777" w:rsidR="00314E67" w:rsidRDefault="00314E67">
      <w:pPr>
        <w:spacing w:before="6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14E67" w14:paraId="103FB47E" w14:textId="77777777">
        <w:tc>
          <w:tcPr>
            <w:tcW w:w="3200" w:type="dxa"/>
            <w:tcBorders>
              <w:top w:val="single" w:sz="2" w:space="0" w:color="AACDE8"/>
              <w:left w:val="single" w:sz="2" w:space="0" w:color="AACDE8"/>
              <w:bottom w:val="single" w:sz="2" w:space="0" w:color="AACDE8"/>
              <w:right w:val="single" w:sz="2" w:space="0" w:color="AACDE8"/>
            </w:tcBorders>
            <w:shd w:val="clear" w:color="auto" w:fill="2E5FA3"/>
            <w:tcMar>
              <w:top w:w="80" w:type="dxa"/>
              <w:left w:w="110" w:type="dxa"/>
              <w:bottom w:w="80" w:type="dxa"/>
              <w:right w:w="110" w:type="dxa"/>
            </w:tcMar>
          </w:tcPr>
          <w:p w14:paraId="71644E6C" w14:textId="77777777" w:rsidR="00314E67" w:rsidRDefault="00000000">
            <w:pPr>
              <w:rPr>
                <w:b/>
                <w:bCs/>
              </w:rPr>
            </w:pPr>
            <w:r>
              <w:rPr>
                <w:b/>
                <w:bCs/>
                <w:color w:val="FFFFFF"/>
                <w:sz w:val="20"/>
                <w:szCs w:val="20"/>
              </w:rPr>
              <w:t>Attribute</w:t>
            </w:r>
          </w:p>
        </w:tc>
        <w:tc>
          <w:tcPr>
            <w:tcW w:w="6160" w:type="dxa"/>
            <w:tcBorders>
              <w:top w:val="single" w:sz="2" w:space="0" w:color="AACDE8"/>
              <w:left w:val="nil"/>
              <w:bottom w:val="single" w:sz="2" w:space="0" w:color="AACDE8"/>
              <w:right w:val="single" w:sz="2" w:space="0" w:color="AACDE8"/>
            </w:tcBorders>
            <w:shd w:val="clear" w:color="auto" w:fill="2E5FA3"/>
            <w:tcMar>
              <w:top w:w="80" w:type="dxa"/>
              <w:left w:w="110" w:type="dxa"/>
              <w:bottom w:w="80" w:type="dxa"/>
              <w:right w:w="110" w:type="dxa"/>
            </w:tcMar>
          </w:tcPr>
          <w:p w14:paraId="30218031" w14:textId="77777777" w:rsidR="00314E67" w:rsidRDefault="00000000">
            <w:pPr>
              <w:rPr>
                <w:b/>
                <w:bCs/>
              </w:rPr>
            </w:pPr>
            <w:r>
              <w:rPr>
                <w:b/>
                <w:bCs/>
                <w:color w:val="FFFFFF"/>
                <w:sz w:val="20"/>
                <w:szCs w:val="20"/>
              </w:rPr>
              <w:t>Value</w:t>
            </w:r>
          </w:p>
        </w:tc>
      </w:tr>
      <w:tr w:rsidR="00314E67" w14:paraId="01B3BB96" w14:textId="77777777">
        <w:tc>
          <w:tcPr>
            <w:tcW w:w="32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76FBED55" w14:textId="77777777" w:rsidR="00314E67" w:rsidRDefault="00000000">
            <w:r>
              <w:rPr>
                <w:sz w:val="20"/>
                <w:szCs w:val="20"/>
              </w:rPr>
              <w:t>Source</w:t>
            </w:r>
          </w:p>
        </w:tc>
        <w:tc>
          <w:tcPr>
            <w:tcW w:w="616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39CCD27C" w14:textId="77777777" w:rsidR="00314E67" w:rsidRDefault="00000000">
            <w:r>
              <w:rPr>
                <w:sz w:val="20"/>
                <w:szCs w:val="20"/>
              </w:rPr>
              <w:t>World Development Indicators (World Bank)</w:t>
            </w:r>
          </w:p>
        </w:tc>
      </w:tr>
      <w:tr w:rsidR="00314E67" w14:paraId="44F58E56" w14:textId="77777777">
        <w:tc>
          <w:tcPr>
            <w:tcW w:w="3200"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6730297B" w14:textId="77777777" w:rsidR="00314E67" w:rsidRDefault="00000000">
            <w:r>
              <w:rPr>
                <w:sz w:val="20"/>
                <w:szCs w:val="20"/>
              </w:rPr>
              <w:t>Country</w:t>
            </w:r>
          </w:p>
        </w:tc>
        <w:tc>
          <w:tcPr>
            <w:tcW w:w="616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3DB4322C" w14:textId="77777777" w:rsidR="00314E67" w:rsidRDefault="00000000">
            <w:r>
              <w:rPr>
                <w:sz w:val="20"/>
                <w:szCs w:val="20"/>
              </w:rPr>
              <w:t>Cambodia</w:t>
            </w:r>
          </w:p>
        </w:tc>
      </w:tr>
      <w:tr w:rsidR="00314E67" w14:paraId="11F6BA3A" w14:textId="77777777">
        <w:tc>
          <w:tcPr>
            <w:tcW w:w="32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1B62569B" w14:textId="77777777" w:rsidR="00314E67" w:rsidRDefault="00000000">
            <w:r>
              <w:rPr>
                <w:sz w:val="20"/>
                <w:szCs w:val="20"/>
              </w:rPr>
              <w:t>Records (yearly observations)</w:t>
            </w:r>
          </w:p>
        </w:tc>
        <w:tc>
          <w:tcPr>
            <w:tcW w:w="616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26A13839" w14:textId="77777777" w:rsidR="00314E67" w:rsidRDefault="00000000">
            <w:r>
              <w:t>35</w:t>
            </w:r>
          </w:p>
        </w:tc>
      </w:tr>
      <w:tr w:rsidR="00314E67" w14:paraId="0472940D" w14:textId="77777777">
        <w:tc>
          <w:tcPr>
            <w:tcW w:w="3200"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4152FC8A" w14:textId="77777777" w:rsidR="00314E67" w:rsidRDefault="00000000">
            <w:r>
              <w:rPr>
                <w:sz w:val="20"/>
                <w:szCs w:val="20"/>
              </w:rPr>
              <w:t>Indicators (input variables)</w:t>
            </w:r>
          </w:p>
        </w:tc>
        <w:tc>
          <w:tcPr>
            <w:tcW w:w="616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27AF2030" w14:textId="77777777" w:rsidR="00314E67" w:rsidRDefault="00000000">
            <w:r>
              <w:t>8</w:t>
            </w:r>
          </w:p>
        </w:tc>
      </w:tr>
      <w:tr w:rsidR="00314E67" w14:paraId="0355ED22" w14:textId="77777777">
        <w:tc>
          <w:tcPr>
            <w:tcW w:w="32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3AA67C8E" w14:textId="77777777" w:rsidR="00314E67" w:rsidRDefault="00000000">
            <w:r>
              <w:rPr>
                <w:sz w:val="20"/>
                <w:szCs w:val="20"/>
              </w:rPr>
              <w:t>Target variable</w:t>
            </w:r>
          </w:p>
        </w:tc>
        <w:tc>
          <w:tcPr>
            <w:tcW w:w="616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20053884" w14:textId="77777777" w:rsidR="00314E67" w:rsidRDefault="00000000">
            <w:r>
              <w:rPr>
                <w:sz w:val="20"/>
                <w:szCs w:val="20"/>
              </w:rPr>
              <w:t>GDP growth (annual %)</w:t>
            </w:r>
          </w:p>
        </w:tc>
      </w:tr>
      <w:tr w:rsidR="00314E67" w14:paraId="4AF1C24C" w14:textId="77777777">
        <w:tc>
          <w:tcPr>
            <w:tcW w:w="3200"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1276E847" w14:textId="77777777" w:rsidR="00314E67" w:rsidRDefault="00000000">
            <w:r>
              <w:rPr>
                <w:sz w:val="20"/>
                <w:szCs w:val="20"/>
              </w:rPr>
              <w:t>Time period</w:t>
            </w:r>
          </w:p>
        </w:tc>
        <w:tc>
          <w:tcPr>
            <w:tcW w:w="6160"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76B9A4BC" w14:textId="77777777" w:rsidR="00314E67" w:rsidRDefault="00000000">
            <w:r>
              <w:rPr>
                <w:sz w:val="20"/>
                <w:szCs w:val="20"/>
              </w:rPr>
              <w:t>1990 – 2024 (35-year span, 19 observed years)</w:t>
            </w:r>
          </w:p>
        </w:tc>
      </w:tr>
      <w:tr w:rsidR="00314E67" w14:paraId="1237ECDC" w14:textId="77777777">
        <w:tc>
          <w:tcPr>
            <w:tcW w:w="3200"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37B7BD25" w14:textId="77777777" w:rsidR="00314E67" w:rsidRDefault="00000000">
            <w:r>
              <w:rPr>
                <w:sz w:val="20"/>
                <w:szCs w:val="20"/>
              </w:rPr>
              <w:t>Missing values (original)</w:t>
            </w:r>
          </w:p>
        </w:tc>
        <w:tc>
          <w:tcPr>
            <w:tcW w:w="6160"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EDFFE9F" w14:textId="77777777" w:rsidR="00314E67" w:rsidRDefault="00000000">
            <w:r>
              <w:t>For export_pct 1990 , 1991 and 1992</w:t>
            </w:r>
          </w:p>
        </w:tc>
      </w:tr>
    </w:tbl>
    <w:p w14:paraId="06867843" w14:textId="77777777" w:rsidR="00314E67" w:rsidRDefault="00314E67">
      <w:pPr>
        <w:pStyle w:val="NormalWeb"/>
        <w:jc w:val="both"/>
        <w:rPr>
          <w:rFonts w:ascii="Arial" w:hAnsi="Arial" w:cs="Arial"/>
        </w:rPr>
      </w:pPr>
    </w:p>
    <w:p w14:paraId="6FC048A0" w14:textId="77777777" w:rsidR="00314E67" w:rsidRDefault="00000000">
      <w:pPr>
        <w:pStyle w:val="NormalWeb"/>
        <w:rPr>
          <w:rFonts w:ascii="Arial" w:hAnsi="Arial" w:cs="Arial"/>
          <w:sz w:val="22"/>
          <w:szCs w:val="22"/>
        </w:rPr>
      </w:pPr>
      <w:r>
        <w:rPr>
          <w:rFonts w:ascii="Arial" w:hAnsi="Arial" w:cs="Arial"/>
          <w:sz w:val="22"/>
          <w:szCs w:val="22"/>
        </w:rPr>
        <w:t xml:space="preserve">       The analysis is based on an economic dataset spanning a 35-year period, from 1990 to 2024, providing a longitudinal view of macroeconomic performance. The dataset consists of 35 entries and 10 specific variables that track various facets of the economy:</w:t>
      </w:r>
    </w:p>
    <w:p w14:paraId="3EAF1B5C"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Year</w:t>
      </w:r>
      <w:r>
        <w:rPr>
          <w:rFonts w:ascii="Arial" w:hAnsi="Arial" w:cs="Arial"/>
          <w:sz w:val="22"/>
          <w:szCs w:val="22"/>
        </w:rPr>
        <w:t>: The temporal marker for each data point.</w:t>
      </w:r>
    </w:p>
    <w:p w14:paraId="5EB96E5D"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Exports (% of GDP)</w:t>
      </w:r>
      <w:r>
        <w:rPr>
          <w:rFonts w:ascii="Arial" w:hAnsi="Arial" w:cs="Arial"/>
          <w:sz w:val="22"/>
          <w:szCs w:val="22"/>
        </w:rPr>
        <w:t>: Represents the value of exports as a percentage of the total economy.</w:t>
      </w:r>
    </w:p>
    <w:p w14:paraId="0ACBCCBD"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Foreign Direct Investment (FDI % of GDP)</w:t>
      </w:r>
      <w:r>
        <w:rPr>
          <w:rFonts w:ascii="Arial" w:hAnsi="Arial" w:cs="Arial"/>
          <w:sz w:val="22"/>
          <w:szCs w:val="22"/>
        </w:rPr>
        <w:t>: Measures the inflow of foreign investment relative to the GDP.</w:t>
      </w:r>
    </w:p>
    <w:p w14:paraId="477A382A"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Inflation</w:t>
      </w:r>
      <w:r>
        <w:rPr>
          <w:rFonts w:ascii="Arial" w:hAnsi="Arial" w:cs="Arial"/>
          <w:sz w:val="22"/>
          <w:szCs w:val="22"/>
        </w:rPr>
        <w:t>: Captures the rate of change in prices.</w:t>
      </w:r>
    </w:p>
    <w:p w14:paraId="36C9845E"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Net Exports</w:t>
      </w:r>
      <w:r>
        <w:rPr>
          <w:rFonts w:ascii="Arial" w:hAnsi="Arial" w:cs="Arial"/>
          <w:sz w:val="22"/>
          <w:szCs w:val="22"/>
        </w:rPr>
        <w:t>: The difference between the value of a country's exports and imports.</w:t>
      </w:r>
    </w:p>
    <w:p w14:paraId="6BE7CD35"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Gross Investment</w:t>
      </w:r>
      <w:r>
        <w:rPr>
          <w:rFonts w:ascii="Arial" w:hAnsi="Arial" w:cs="Arial"/>
          <w:sz w:val="22"/>
          <w:szCs w:val="22"/>
        </w:rPr>
        <w:t>: Represents the total capital expenditure in the economy.</w:t>
      </w:r>
    </w:p>
    <w:p w14:paraId="36B859E6"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Real Premium</w:t>
      </w:r>
      <w:r>
        <w:rPr>
          <w:rFonts w:ascii="Arial" w:hAnsi="Arial" w:cs="Arial"/>
          <w:sz w:val="22"/>
          <w:szCs w:val="22"/>
        </w:rPr>
        <w:t>: An indicator of financial or risk-adjusted return dynamics.</w:t>
      </w:r>
    </w:p>
    <w:p w14:paraId="595D98E8"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GDP Growth</w:t>
      </w:r>
      <w:r>
        <w:rPr>
          <w:rFonts w:ascii="Arial" w:hAnsi="Arial" w:cs="Arial"/>
          <w:sz w:val="22"/>
          <w:szCs w:val="22"/>
        </w:rPr>
        <w:t>: The primary target variable, measuring the annual percentage growth of the Gross Domestic Product.</w:t>
      </w:r>
    </w:p>
    <w:p w14:paraId="76BFD9A4"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Unemployment Rate</w:t>
      </w:r>
      <w:r>
        <w:rPr>
          <w:rFonts w:ascii="Arial" w:hAnsi="Arial" w:cs="Arial"/>
          <w:sz w:val="22"/>
          <w:szCs w:val="22"/>
        </w:rPr>
        <w:t>: The percentage of the labor force that is unemployed.</w:t>
      </w:r>
    </w:p>
    <w:p w14:paraId="390D4EDB" w14:textId="77777777" w:rsidR="00314E67" w:rsidRDefault="00000000">
      <w:pPr>
        <w:pStyle w:val="NormalWeb"/>
        <w:numPr>
          <w:ilvl w:val="0"/>
          <w:numId w:val="1"/>
        </w:numPr>
        <w:rPr>
          <w:rFonts w:ascii="Arial" w:hAnsi="Arial" w:cs="Arial"/>
          <w:sz w:val="22"/>
          <w:szCs w:val="22"/>
        </w:rPr>
      </w:pPr>
      <w:r>
        <w:rPr>
          <w:rFonts w:ascii="Arial" w:hAnsi="Arial" w:cs="Arial"/>
          <w:b/>
          <w:bCs/>
          <w:sz w:val="22"/>
          <w:szCs w:val="22"/>
        </w:rPr>
        <w:t>Population Growth</w:t>
      </w:r>
      <w:r>
        <w:rPr>
          <w:rFonts w:ascii="Arial" w:hAnsi="Arial" w:cs="Arial"/>
          <w:sz w:val="22"/>
          <w:szCs w:val="22"/>
        </w:rPr>
        <w:t>: The annual percentage change in the total population.</w:t>
      </w:r>
    </w:p>
    <w:p w14:paraId="4E96FF26" w14:textId="77777777" w:rsidR="00314E67" w:rsidRDefault="00000000">
      <w:pPr>
        <w:spacing w:after="120"/>
      </w:pPr>
      <w:r>
        <w:lastRenderedPageBreak/>
        <w:t xml:space="preserve">      The target variable for future prediction is GDP growth (annual %), with the remaining 8 indicators serving as predictor features.</w:t>
      </w:r>
    </w:p>
    <w:p w14:paraId="11C73B9C" w14:textId="77777777" w:rsidR="00314E67" w:rsidRDefault="00000000">
      <w:pPr>
        <w:pStyle w:val="Heading2"/>
      </w:pPr>
      <w:bookmarkStart w:id="13" w:name="sec-4-2"/>
      <w:r>
        <w:t>4.2  Data Preprocessing</w:t>
      </w:r>
      <w:bookmarkEnd w:id="13"/>
    </w:p>
    <w:p w14:paraId="23468B3E" w14:textId="77777777" w:rsidR="00314E67" w:rsidRDefault="00000000">
      <w:pPr>
        <w:pStyle w:val="Heading3"/>
      </w:pPr>
      <w:bookmarkStart w:id="14" w:name="sec-4-2-1"/>
      <w:r>
        <w:rPr>
          <w:color w:val="0070C0"/>
        </w:rPr>
        <w:t>4.2.1</w:t>
      </w:r>
      <w:bookmarkEnd w:id="14"/>
      <w:r>
        <w:t xml:space="preserve">. </w:t>
      </w:r>
      <w:r>
        <w:rPr>
          <w:color w:val="0070C0"/>
        </w:rPr>
        <w:t>Missing Value Sentinel Replacement</w:t>
      </w:r>
    </w:p>
    <w:p w14:paraId="64588C82" w14:textId="77777777" w:rsidR="00314E67" w:rsidRDefault="00000000">
      <w:pPr>
        <w:pStyle w:val="Heading3"/>
        <w:jc w:val="both"/>
        <w:rPr>
          <w:b w:val="0"/>
          <w:bCs w:val="0"/>
        </w:rPr>
      </w:pPr>
      <w:r>
        <w:rPr>
          <w:b w:val="0"/>
          <w:bCs w:val="0"/>
        </w:rPr>
        <w:t xml:space="preserve">      To maintain the statistical integrity of the dataset, missing values within the </w:t>
      </w:r>
      <w:r>
        <w:rPr>
          <w:rStyle w:val="HTMLCode"/>
          <w:rFonts w:ascii="Arial" w:hAnsi="Arial" w:cs="Arial"/>
          <w:b w:val="0"/>
          <w:bCs w:val="0"/>
          <w:sz w:val="22"/>
          <w:szCs w:val="22"/>
        </w:rPr>
        <w:t>exports_pct</w:t>
      </w:r>
      <w:r>
        <w:rPr>
          <w:b w:val="0"/>
          <w:bCs w:val="0"/>
        </w:rPr>
        <w:t xml:space="preserve"> variable were addressed through systematic imputation rather than row deletion. Given that the dataset consists of only 35 observations, preserving every record was essential to maintain the power of the analysis. Instead of using a sentinel value (such as -1 or 999), which could skew the results of regression models by introducing artificial outliers, the missing entries were filled using the mean and median of the existing </w:t>
      </w:r>
      <w:r>
        <w:rPr>
          <w:rStyle w:val="HTMLCode"/>
          <w:rFonts w:ascii="Arial" w:hAnsi="Arial" w:cs="Arial"/>
          <w:b w:val="0"/>
          <w:bCs w:val="0"/>
          <w:sz w:val="22"/>
          <w:szCs w:val="22"/>
        </w:rPr>
        <w:t>exports_pct</w:t>
      </w:r>
      <w:r>
        <w:rPr>
          <w:b w:val="0"/>
          <w:bCs w:val="0"/>
        </w:rPr>
        <w:t xml:space="preserve"> data. This approach ensures that the imputed data points align with the central tendency of the observed economic performance, thereby allowing the machine learning algorithms to learn from a complete and representative feature set without the distorting influence of placeholder values.</w:t>
      </w:r>
    </w:p>
    <w:p w14:paraId="34133FE7" w14:textId="77777777" w:rsidR="00314E67" w:rsidRDefault="00314E67">
      <w:pPr>
        <w:pStyle w:val="Heading3"/>
        <w:jc w:val="both"/>
        <w:rPr>
          <w:b w:val="0"/>
          <w:bCs w:val="0"/>
        </w:rPr>
      </w:pPr>
    </w:p>
    <w:p w14:paraId="6187513D" w14:textId="77777777" w:rsidR="00314E67" w:rsidRDefault="00000000">
      <w:pPr>
        <w:jc w:val="both"/>
        <w:rPr>
          <w:sz w:val="24"/>
          <w:szCs w:val="24"/>
        </w:rPr>
      </w:pPr>
      <w:r>
        <w:rPr>
          <w:sz w:val="24"/>
          <w:szCs w:val="24"/>
        </w:rPr>
        <w:t xml:space="preserve">        To address the missing entries in the </w:t>
      </w:r>
      <w:r>
        <w:rPr>
          <w:sz w:val="20"/>
          <w:szCs w:val="20"/>
        </w:rPr>
        <w:t>exports_pct</w:t>
      </w:r>
      <w:r>
        <w:rPr>
          <w:sz w:val="24"/>
          <w:szCs w:val="24"/>
        </w:rPr>
        <w:t xml:space="preserve"> variable, an imputation strategy based on the median was employed. Given the small sample size (n=35), this approach ensures data continuity while protecting the dataset from the influence of extreme values (outliers) that might otherwise skew an arithmetic mean.</w:t>
      </w:r>
    </w:p>
    <w:p w14:paraId="1F448693" w14:textId="77777777" w:rsidR="00314E67" w:rsidRDefault="00314E67">
      <w:pPr>
        <w:pStyle w:val="Heading3"/>
        <w:jc w:val="both"/>
        <w:rPr>
          <w:b w:val="0"/>
          <w:bCs w:val="0"/>
        </w:rPr>
      </w:pPr>
    </w:p>
    <w:p w14:paraId="22EB8115" w14:textId="77777777" w:rsidR="00314E67" w:rsidRDefault="00000000">
      <w:r>
        <w:rPr>
          <w:sz w:val="24"/>
          <w:szCs w:val="24"/>
        </w:rPr>
        <w:t xml:space="preserve">       The missing values were replaced by the median (</w:t>
      </w:r>
      <m:oMath>
        <m:acc>
          <m:accPr>
            <m:chr m:val="̃"/>
            <m:ctrlPr>
              <w:rPr>
                <w:rFonts w:ascii="Cambria Math" w:hAnsi="Cambria Math"/>
                <w:i/>
                <w:sz w:val="24"/>
                <w:szCs w:val="24"/>
              </w:rPr>
            </m:ctrlPr>
          </m:accPr>
          <m:e>
            <m:r>
              <w:rPr>
                <w:rFonts w:ascii="Cambria Math" w:hAnsi="Cambria Math"/>
                <w:sz w:val="24"/>
                <w:szCs w:val="24"/>
              </w:rPr>
              <m:t>X</m:t>
            </m:r>
          </m:e>
        </m:acc>
      </m:oMath>
      <w:r>
        <w:rPr>
          <w:sz w:val="24"/>
          <w:szCs w:val="24"/>
        </w:rPr>
        <w:t xml:space="preserve">), defined as the middle value of the sorted observed dataset. Mathematically, for a set of N observations sorted in ascending order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N</m:t>
            </m:r>
          </m:sub>
        </m:sSub>
      </m:oMath>
      <w:r>
        <w:rPr>
          <w:sz w:val="24"/>
          <w:szCs w:val="24"/>
        </w:rPr>
        <w:t xml:space="preserve">  </w:t>
      </w:r>
      <w:r>
        <w:t>the median is calculated as:</w:t>
      </w:r>
    </w:p>
    <w:p w14:paraId="3FC3C7A3" w14:textId="77777777" w:rsidR="00314E67" w:rsidRDefault="00000000">
      <w:pPr>
        <w:rPr>
          <w:sz w:val="24"/>
          <w:szCs w:val="24"/>
        </w:rPr>
      </w:pPr>
      <w:r>
        <w:rPr>
          <w:noProof/>
          <w:color w:val="0070C0"/>
        </w:rPr>
        <w:drawing>
          <wp:anchor distT="0" distB="0" distL="114300" distR="114300" simplePos="0" relativeHeight="251661312" behindDoc="1" locked="0" layoutInCell="1" allowOverlap="1" wp14:anchorId="28387E58" wp14:editId="1A53AD1E">
            <wp:simplePos x="0" y="0"/>
            <wp:positionH relativeFrom="column">
              <wp:posOffset>713105</wp:posOffset>
            </wp:positionH>
            <wp:positionV relativeFrom="paragraph">
              <wp:posOffset>177165</wp:posOffset>
            </wp:positionV>
            <wp:extent cx="3970020" cy="1127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970020" cy="1127760"/>
                    </a:xfrm>
                    <a:prstGeom prst="rect">
                      <a:avLst/>
                    </a:prstGeom>
                  </pic:spPr>
                </pic:pic>
              </a:graphicData>
            </a:graphic>
          </wp:anchor>
        </w:drawing>
      </w:r>
    </w:p>
    <w:p w14:paraId="54CE9D38" w14:textId="77777777" w:rsidR="00314E67" w:rsidRDefault="00314E67">
      <w:pPr>
        <w:rPr>
          <w:sz w:val="24"/>
          <w:szCs w:val="24"/>
        </w:rPr>
      </w:pPr>
    </w:p>
    <w:p w14:paraId="1572417E" w14:textId="77777777" w:rsidR="00314E67" w:rsidRDefault="00314E67">
      <w:pPr>
        <w:pStyle w:val="Heading3"/>
        <w:jc w:val="both"/>
        <w:rPr>
          <w:b w:val="0"/>
          <w:bCs w:val="0"/>
          <w:color w:val="0070C0"/>
        </w:rPr>
      </w:pPr>
    </w:p>
    <w:p w14:paraId="5B473193" w14:textId="77777777" w:rsidR="00314E67" w:rsidRDefault="00314E67">
      <w:pPr>
        <w:pStyle w:val="Heading2"/>
      </w:pPr>
    </w:p>
    <w:p w14:paraId="5545B416" w14:textId="77777777" w:rsidR="00314E67" w:rsidRDefault="00314E67">
      <w:pPr>
        <w:pStyle w:val="Heading2"/>
      </w:pPr>
    </w:p>
    <w:p w14:paraId="6E1A881B" w14:textId="77777777" w:rsidR="00314E67" w:rsidRDefault="00000000">
      <w:pPr>
        <w:pStyle w:val="Heading2"/>
      </w:pPr>
      <w:bookmarkStart w:id="15" w:name="sec-4-3"/>
      <w:r>
        <w:t>4.3  Exploratory Data Analysis (EDA)</w:t>
      </w:r>
      <w:bookmarkEnd w:id="15"/>
    </w:p>
    <w:p w14:paraId="0AE46507" w14:textId="77777777" w:rsidR="00314E67" w:rsidRDefault="00000000">
      <w:pPr>
        <w:pStyle w:val="Heading3"/>
        <w:rPr>
          <w:color w:val="365F91" w:themeColor="accent1" w:themeShade="BF"/>
          <w:sz w:val="27"/>
          <w:szCs w:val="27"/>
        </w:rPr>
      </w:pPr>
      <w:bookmarkStart w:id="16" w:name="sec-4-3-1"/>
      <w:r>
        <w:rPr>
          <w:color w:val="365F91" w:themeColor="accent1" w:themeShade="BF"/>
        </w:rPr>
        <w:t>4.3.1 Time-Series Line Plots</w:t>
      </w:r>
      <w:bookmarkEnd w:id="16"/>
    </w:p>
    <w:p w14:paraId="770482B3" w14:textId="77777777" w:rsidR="00314E67" w:rsidRDefault="00000000">
      <w:pPr>
        <w:pStyle w:val="Heading2"/>
        <w:jc w:val="both"/>
        <w:rPr>
          <w:b w:val="0"/>
          <w:bCs w:val="0"/>
          <w:color w:val="auto"/>
          <w:sz w:val="22"/>
          <w:szCs w:val="22"/>
        </w:rPr>
      </w:pPr>
      <w:r>
        <w:rPr>
          <w:b w:val="0"/>
          <w:bCs w:val="0"/>
          <w:noProof/>
          <w:color w:val="auto"/>
          <w:sz w:val="22"/>
          <w:szCs w:val="22"/>
        </w:rPr>
        <mc:AlternateContent>
          <mc:Choice Requires="wps">
            <w:drawing>
              <wp:anchor distT="0" distB="0" distL="114300" distR="114300" simplePos="0" relativeHeight="251667456" behindDoc="0" locked="0" layoutInCell="1" allowOverlap="1" wp14:anchorId="172525C0" wp14:editId="07260607">
                <wp:simplePos x="0" y="0"/>
                <wp:positionH relativeFrom="margin">
                  <wp:posOffset>22860</wp:posOffset>
                </wp:positionH>
                <wp:positionV relativeFrom="paragraph">
                  <wp:posOffset>20320</wp:posOffset>
                </wp:positionV>
                <wp:extent cx="5372100" cy="2421255"/>
                <wp:effectExtent l="4445" t="4445" r="18415" b="12700"/>
                <wp:wrapNone/>
                <wp:docPr id="3" name="Text Box 3"/>
                <wp:cNvGraphicFramePr/>
                <a:graphic xmlns:a="http://schemas.openxmlformats.org/drawingml/2006/main">
                  <a:graphicData uri="http://schemas.microsoft.com/office/word/2010/wordprocessingShape">
                    <wps:wsp>
                      <wps:cNvSpPr txBox="1"/>
                      <wps:spPr>
                        <a:xfrm>
                          <a:off x="0" y="0"/>
                          <a:ext cx="5372100" cy="2421255"/>
                        </a:xfrm>
                        <a:prstGeom prst="rect">
                          <a:avLst/>
                        </a:prstGeom>
                        <a:solidFill>
                          <a:schemeClr val="accent2">
                            <a:lumMod val="40000"/>
                            <a:lumOff val="60000"/>
                          </a:schemeClr>
                        </a:solidFill>
                        <a:ln w="6350">
                          <a:solidFill>
                            <a:prstClr val="black"/>
                          </a:solidFill>
                        </a:ln>
                      </wps:spPr>
                      <wps:txbx>
                        <w:txbxContent>
                          <w:p w14:paraId="3ECE9323" w14:textId="77777777" w:rsidR="00314E67" w:rsidRDefault="00000000">
                            <w:pPr>
                              <w:pStyle w:val="Heading2"/>
                              <w:jc w:val="both"/>
                              <w:rPr>
                                <w:b w:val="0"/>
                                <w:bCs w:val="0"/>
                                <w:color w:val="auto"/>
                              </w:rPr>
                            </w:pPr>
                            <w:r>
                              <w:rPr>
                                <w:b w:val="0"/>
                                <w:bCs w:val="0"/>
                                <w:color w:val="auto"/>
                                <w:sz w:val="22"/>
                                <w:szCs w:val="22"/>
                              </w:rPr>
                              <w:t xml:space="preserve">The time-series analysis in the notebook also incorporates a dual-layered view of </w:t>
                            </w:r>
                            <w:r>
                              <w:rPr>
                                <w:rStyle w:val="HTMLCode"/>
                                <w:rFonts w:ascii="Arial" w:hAnsi="Arial" w:cs="Arial"/>
                                <w:b w:val="0"/>
                                <w:bCs w:val="0"/>
                                <w:color w:val="auto"/>
                                <w:sz w:val="22"/>
                                <w:szCs w:val="22"/>
                              </w:rPr>
                              <w:t>gross_investment</w:t>
                            </w:r>
                            <w:r>
                              <w:rPr>
                                <w:b w:val="0"/>
                                <w:bCs w:val="0"/>
                                <w:color w:val="auto"/>
                                <w:sz w:val="22"/>
                                <w:szCs w:val="22"/>
                              </w:rPr>
                              <w:t xml:space="preserve"> and </w:t>
                            </w:r>
                            <w:r>
                              <w:rPr>
                                <w:rStyle w:val="HTMLCode"/>
                                <w:rFonts w:ascii="Arial" w:hAnsi="Arial" w:cs="Arial"/>
                                <w:b w:val="0"/>
                                <w:bCs w:val="0"/>
                                <w:color w:val="auto"/>
                                <w:sz w:val="22"/>
                                <w:szCs w:val="22"/>
                              </w:rPr>
                              <w:t>inflation_gd</w:t>
                            </w:r>
                            <w:r>
                              <w:rPr>
                                <w:b w:val="0"/>
                                <w:bCs w:val="0"/>
                                <w:color w:val="auto"/>
                                <w:sz w:val="22"/>
                                <w:szCs w:val="22"/>
                              </w:rPr>
                              <w:t>, plotted concurrently to reveal the inverse or cyclical interplay between these two macroeconomic forces. By overlaying the trajectory of capital expenditure against the inflation rate across the 1990–2024 period, the visualization highlights how periods of high investment often correlate with specific inflationary environments. When these two variables are analyzed in tandem, we can identify "macroeconomic episodes"—such as overheating economies where surging investment might be paired with climbing inflation, or periods of stagnation where low investment levels coincide with stable or declining price indices. This visual comparison is critical, as it provides an immediate diagnostic of the economic climate that the model is intended</w:t>
                            </w:r>
                            <w:r>
                              <w:rPr>
                                <w:b w:val="0"/>
                                <w:bCs w:val="0"/>
                                <w:color w:val="auto"/>
                              </w:rPr>
                              <w:t xml:space="preserve"> </w:t>
                            </w:r>
                            <w:r>
                              <w:rPr>
                                <w:b w:val="0"/>
                                <w:bCs w:val="0"/>
                                <w:color w:val="auto"/>
                                <w:sz w:val="22"/>
                                <w:szCs w:val="22"/>
                              </w:rPr>
                              <w:t>to predict, ensuring that the relationships between investment, inflation, and GDP growth are grounded in historical context</w:t>
                            </w:r>
                            <w:r>
                              <w:rPr>
                                <w:b w:val="0"/>
                                <w:bCs w:val="0"/>
                                <w:color w:val="auto"/>
                              </w:rPr>
                              <w:t>.</w:t>
                            </w:r>
                          </w:p>
                          <w:p w14:paraId="15EF8D6B" w14:textId="77777777" w:rsidR="00314E67" w:rsidRDefault="00314E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2525C0" id="_x0000_t202" coordsize="21600,21600" o:spt="202" path="m,l,21600r21600,l21600,xe">
                <v:stroke joinstyle="miter"/>
                <v:path gradientshapeok="t" o:connecttype="rect"/>
              </v:shapetype>
              <v:shape id="Text Box 3" o:spid="_x0000_s1026" type="#_x0000_t202" style="position:absolute;left:0;text-align:left;margin-left:1.8pt;margin-top:1.6pt;width:423pt;height:190.6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" fillcolor="#e5b8b7 [1301]" strokeweight=".5pt">
                <v:textbox>
                  <w:txbxContent>
                    <w:p w14:paraId="3ECE9323" w14:textId="77777777" w:rsidR="00314E67" w:rsidRDefault="00000000">
                      <w:pPr>
                        <w:pStyle w:val="Heading2"/>
                        <w:jc w:val="both"/>
                        <w:rPr>
                          <w:b w:val="0"/>
                          <w:bCs w:val="0"/>
                          <w:color w:val="auto"/>
                        </w:rPr>
                      </w:pPr>
                      <w:r>
                        <w:rPr>
                          <w:b w:val="0"/>
                          <w:bCs w:val="0"/>
                          <w:color w:val="auto"/>
                          <w:sz w:val="22"/>
                          <w:szCs w:val="22"/>
                        </w:rPr>
                        <w:t xml:space="preserve">The time-series analysis in the notebook also incorporates a dual-layered view of </w:t>
                      </w:r>
                      <w:r>
                        <w:rPr>
                          <w:rStyle w:val="HTMLCode"/>
                          <w:rFonts w:ascii="Arial" w:hAnsi="Arial" w:cs="Arial"/>
                          <w:b w:val="0"/>
                          <w:bCs w:val="0"/>
                          <w:color w:val="auto"/>
                          <w:sz w:val="22"/>
                          <w:szCs w:val="22"/>
                        </w:rPr>
                        <w:t>gross_investment</w:t>
                      </w:r>
                      <w:r>
                        <w:rPr>
                          <w:b w:val="0"/>
                          <w:bCs w:val="0"/>
                          <w:color w:val="auto"/>
                          <w:sz w:val="22"/>
                          <w:szCs w:val="22"/>
                        </w:rPr>
                        <w:t xml:space="preserve"> and </w:t>
                      </w:r>
                      <w:r>
                        <w:rPr>
                          <w:rStyle w:val="HTMLCode"/>
                          <w:rFonts w:ascii="Arial" w:hAnsi="Arial" w:cs="Arial"/>
                          <w:b w:val="0"/>
                          <w:bCs w:val="0"/>
                          <w:color w:val="auto"/>
                          <w:sz w:val="22"/>
                          <w:szCs w:val="22"/>
                        </w:rPr>
                        <w:t>inflation_gd</w:t>
                      </w:r>
                      <w:r>
                        <w:rPr>
                          <w:b w:val="0"/>
                          <w:bCs w:val="0"/>
                          <w:color w:val="auto"/>
                          <w:sz w:val="22"/>
                          <w:szCs w:val="22"/>
                        </w:rPr>
                        <w:t>, plotted concurrently to reveal the inverse or cyclical interplay between these two macroeconomic forces. By overlaying the trajectory of capital expenditure against the inflation rate across the 1990–2024 period, the visualization highlights how periods of high investment often correlate with specific inflationary environments. When these two variables are analyzed in tandem, we can identify "macroeconomic episodes"—such as overheating economies where surging investment might be paired with climbing inflation, or periods of stagnation where low investment levels coincide with stable or declining price indices. This visual comparison is critical, as it provides an immediate diagnostic of the economic climate that the model is intended</w:t>
                      </w:r>
                      <w:r>
                        <w:rPr>
                          <w:b w:val="0"/>
                          <w:bCs w:val="0"/>
                          <w:color w:val="auto"/>
                        </w:rPr>
                        <w:t xml:space="preserve"> </w:t>
                      </w:r>
                      <w:r>
                        <w:rPr>
                          <w:b w:val="0"/>
                          <w:bCs w:val="0"/>
                          <w:color w:val="auto"/>
                          <w:sz w:val="22"/>
                          <w:szCs w:val="22"/>
                        </w:rPr>
                        <w:t>to predict, ensuring that the relationships between investment, inflation, and GDP growth are grounded in historical context</w:t>
                      </w:r>
                      <w:r>
                        <w:rPr>
                          <w:b w:val="0"/>
                          <w:bCs w:val="0"/>
                          <w:color w:val="auto"/>
                        </w:rPr>
                        <w:t>.</w:t>
                      </w:r>
                    </w:p>
                    <w:p w14:paraId="15EF8D6B" w14:textId="77777777" w:rsidR="00314E67" w:rsidRDefault="00314E67"/>
                  </w:txbxContent>
                </v:textbox>
                <w10:wrap anchorx="margin"/>
              </v:shape>
            </w:pict>
          </mc:Fallback>
        </mc:AlternateContent>
      </w:r>
      <w:r>
        <w:rPr>
          <w:b w:val="0"/>
          <w:bCs w:val="0"/>
          <w:color w:val="auto"/>
          <w:sz w:val="22"/>
          <w:szCs w:val="22"/>
        </w:rPr>
        <w:t xml:space="preserve">      </w:t>
      </w:r>
    </w:p>
    <w:p w14:paraId="0316FFF9" w14:textId="77777777" w:rsidR="00314E67" w:rsidRDefault="00314E67">
      <w:pPr>
        <w:pStyle w:val="Heading2"/>
        <w:jc w:val="both"/>
        <w:rPr>
          <w:b w:val="0"/>
          <w:bCs w:val="0"/>
          <w:color w:val="auto"/>
        </w:rPr>
      </w:pPr>
    </w:p>
    <w:p w14:paraId="24669926" w14:textId="77777777" w:rsidR="00314E67" w:rsidRDefault="00314E67">
      <w:pPr>
        <w:pStyle w:val="Heading2"/>
        <w:jc w:val="both"/>
        <w:rPr>
          <w:b w:val="0"/>
          <w:bCs w:val="0"/>
          <w:color w:val="auto"/>
        </w:rPr>
      </w:pPr>
    </w:p>
    <w:p w14:paraId="0F0E084C" w14:textId="77777777" w:rsidR="00314E67" w:rsidRDefault="00314E67">
      <w:pPr>
        <w:pStyle w:val="Heading2"/>
        <w:jc w:val="both"/>
        <w:rPr>
          <w:b w:val="0"/>
          <w:bCs w:val="0"/>
          <w:color w:val="auto"/>
        </w:rPr>
      </w:pPr>
    </w:p>
    <w:p w14:paraId="28610CA6" w14:textId="77777777" w:rsidR="00314E67" w:rsidRDefault="00314E67">
      <w:pPr>
        <w:pStyle w:val="Heading2"/>
        <w:jc w:val="both"/>
        <w:rPr>
          <w:b w:val="0"/>
          <w:bCs w:val="0"/>
          <w:color w:val="auto"/>
        </w:rPr>
      </w:pPr>
    </w:p>
    <w:p w14:paraId="2E2F0942" w14:textId="77777777" w:rsidR="00314E67" w:rsidRDefault="00314E67">
      <w:pPr>
        <w:pStyle w:val="Heading2"/>
        <w:jc w:val="both"/>
        <w:rPr>
          <w:b w:val="0"/>
          <w:bCs w:val="0"/>
          <w:color w:val="auto"/>
        </w:rPr>
      </w:pPr>
    </w:p>
    <w:p w14:paraId="5D82F15B" w14:textId="77777777" w:rsidR="00314E67" w:rsidRDefault="00314E67">
      <w:pPr>
        <w:pStyle w:val="Heading2"/>
        <w:jc w:val="both"/>
        <w:rPr>
          <w:b w:val="0"/>
          <w:bCs w:val="0"/>
          <w:color w:val="auto"/>
        </w:rPr>
      </w:pPr>
    </w:p>
    <w:p w14:paraId="03721BBC" w14:textId="77777777" w:rsidR="00314E67" w:rsidRDefault="00314E67">
      <w:pPr>
        <w:pStyle w:val="Heading2"/>
        <w:jc w:val="both"/>
        <w:rPr>
          <w:b w:val="0"/>
          <w:bCs w:val="0"/>
          <w:color w:val="auto"/>
        </w:rPr>
      </w:pPr>
    </w:p>
    <w:p w14:paraId="4B9EAF72" w14:textId="77777777" w:rsidR="00314E67" w:rsidRDefault="00314E67">
      <w:pPr>
        <w:pStyle w:val="Heading2"/>
        <w:jc w:val="both"/>
        <w:rPr>
          <w:b w:val="0"/>
          <w:bCs w:val="0"/>
          <w:color w:val="auto"/>
        </w:rPr>
      </w:pPr>
    </w:p>
    <w:p w14:paraId="21BD9271" w14:textId="77777777" w:rsidR="00314E67" w:rsidRDefault="00314E67">
      <w:pPr>
        <w:pStyle w:val="Heading2"/>
        <w:jc w:val="both"/>
        <w:rPr>
          <w:b w:val="0"/>
          <w:bCs w:val="0"/>
          <w:color w:val="auto"/>
        </w:rPr>
      </w:pPr>
    </w:p>
    <w:p w14:paraId="00A7AD5B" w14:textId="77777777" w:rsidR="00314E67" w:rsidRDefault="00AF2D12">
      <w:pPr>
        <w:pStyle w:val="Heading2"/>
        <w:jc w:val="both"/>
        <w:rPr>
          <w:b w:val="0"/>
          <w:bCs w:val="0"/>
          <w:color w:val="auto"/>
        </w:rPr>
      </w:pPr>
      <w:r>
        <w:rPr>
          <w:b w:val="0"/>
          <w:bCs w:val="0"/>
          <w:noProof/>
          <w:color w:val="auto"/>
        </w:rPr>
        <w:drawing>
          <wp:anchor distT="0" distB="0" distL="114300" distR="114300" simplePos="0" relativeHeight="251663360" behindDoc="1" locked="0" layoutInCell="1" allowOverlap="1" wp14:anchorId="264E59F6" wp14:editId="130646A0">
            <wp:simplePos x="0" y="0"/>
            <wp:positionH relativeFrom="column">
              <wp:posOffset>-250825</wp:posOffset>
            </wp:positionH>
            <wp:positionV relativeFrom="paragraph">
              <wp:posOffset>313055</wp:posOffset>
            </wp:positionV>
            <wp:extent cx="5634355" cy="2379363"/>
            <wp:effectExtent l="0" t="0" r="4445"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49809" cy="2385889"/>
                    </a:xfrm>
                    <a:prstGeom prst="rect">
                      <a:avLst/>
                    </a:prstGeom>
                  </pic:spPr>
                </pic:pic>
              </a:graphicData>
            </a:graphic>
            <wp14:sizeRelH relativeFrom="margin">
              <wp14:pctWidth>0</wp14:pctWidth>
            </wp14:sizeRelH>
            <wp14:sizeRelV relativeFrom="margin">
              <wp14:pctHeight>0</wp14:pctHeight>
            </wp14:sizeRelV>
          </wp:anchor>
        </w:drawing>
      </w:r>
    </w:p>
    <w:p w14:paraId="3BB2274B" w14:textId="77777777" w:rsidR="00314E67" w:rsidRDefault="00314E67">
      <w:pPr>
        <w:pStyle w:val="Heading2"/>
        <w:jc w:val="both"/>
        <w:rPr>
          <w:b w:val="0"/>
          <w:bCs w:val="0"/>
          <w:color w:val="auto"/>
        </w:rPr>
      </w:pPr>
    </w:p>
    <w:p w14:paraId="3C9A3AAB" w14:textId="77777777" w:rsidR="00314E67" w:rsidRDefault="00314E67">
      <w:pPr>
        <w:pStyle w:val="Heading2"/>
        <w:jc w:val="both"/>
        <w:rPr>
          <w:b w:val="0"/>
          <w:bCs w:val="0"/>
          <w:color w:val="auto"/>
        </w:rPr>
      </w:pPr>
    </w:p>
    <w:p w14:paraId="03C98FEF" w14:textId="77777777" w:rsidR="00314E67" w:rsidRDefault="00314E67">
      <w:pPr>
        <w:pStyle w:val="Heading2"/>
        <w:jc w:val="both"/>
        <w:rPr>
          <w:b w:val="0"/>
          <w:bCs w:val="0"/>
          <w:color w:val="auto"/>
        </w:rPr>
      </w:pPr>
    </w:p>
    <w:p w14:paraId="66A3872F" w14:textId="77777777" w:rsidR="00314E67" w:rsidRDefault="00314E67">
      <w:pPr>
        <w:pStyle w:val="Heading2"/>
        <w:jc w:val="both"/>
        <w:rPr>
          <w:b w:val="0"/>
          <w:bCs w:val="0"/>
          <w:color w:val="auto"/>
        </w:rPr>
      </w:pPr>
    </w:p>
    <w:p w14:paraId="2A85FB3B" w14:textId="77777777" w:rsidR="00314E67" w:rsidRDefault="00314E67">
      <w:pPr>
        <w:pStyle w:val="Heading2"/>
        <w:jc w:val="both"/>
        <w:rPr>
          <w:b w:val="0"/>
          <w:bCs w:val="0"/>
          <w:color w:val="auto"/>
        </w:rPr>
      </w:pPr>
    </w:p>
    <w:p w14:paraId="7103C226" w14:textId="77777777" w:rsidR="00314E67" w:rsidRDefault="00314E67">
      <w:pPr>
        <w:pStyle w:val="Heading2"/>
        <w:jc w:val="both"/>
        <w:rPr>
          <w:b w:val="0"/>
          <w:bCs w:val="0"/>
          <w:color w:val="auto"/>
        </w:rPr>
      </w:pPr>
    </w:p>
    <w:p w14:paraId="383C2317" w14:textId="77777777" w:rsidR="00314E67" w:rsidRDefault="00314E67">
      <w:pPr>
        <w:pStyle w:val="Heading2"/>
        <w:jc w:val="both"/>
        <w:rPr>
          <w:b w:val="0"/>
          <w:bCs w:val="0"/>
          <w:color w:val="auto"/>
        </w:rPr>
      </w:pPr>
    </w:p>
    <w:p w14:paraId="761B09C9" w14:textId="77777777" w:rsidR="00314E67" w:rsidRDefault="00314E67">
      <w:pPr>
        <w:pStyle w:val="Heading2"/>
        <w:jc w:val="both"/>
        <w:rPr>
          <w:b w:val="0"/>
          <w:bCs w:val="0"/>
          <w:color w:val="auto"/>
        </w:rPr>
      </w:pPr>
    </w:p>
    <w:p w14:paraId="06535B76" w14:textId="77777777" w:rsidR="00314E67" w:rsidRDefault="00314E67">
      <w:pPr>
        <w:pStyle w:val="Heading2"/>
        <w:jc w:val="both"/>
        <w:rPr>
          <w:b w:val="0"/>
          <w:bCs w:val="0"/>
          <w:color w:val="auto"/>
        </w:rPr>
      </w:pPr>
    </w:p>
    <w:p w14:paraId="46E85FA9" w14:textId="77777777" w:rsidR="00314E67" w:rsidRDefault="00000000">
      <w:pPr>
        <w:pStyle w:val="Heading3"/>
        <w:rPr>
          <w:color w:val="548DD4" w:themeColor="text2" w:themeTint="99"/>
        </w:rPr>
      </w:pPr>
      <w:bookmarkStart w:id="17" w:name="sec-4-3-2"/>
      <w:r>
        <w:rPr>
          <w:color w:val="548DD4" w:themeColor="text2" w:themeTint="99"/>
        </w:rPr>
        <w:t>4.3.2 Correlation Matrix Heatmap</w:t>
      </w:r>
      <w:bookmarkEnd w:id="17"/>
    </w:p>
    <w:p w14:paraId="5BAAAD29" w14:textId="77777777" w:rsidR="00314E67" w:rsidRDefault="00314E67">
      <w:pPr>
        <w:pStyle w:val="Heading3"/>
        <w:rPr>
          <w:color w:val="548DD4" w:themeColor="text2" w:themeTint="99"/>
          <w:sz w:val="27"/>
          <w:szCs w:val="27"/>
        </w:rPr>
      </w:pPr>
    </w:p>
    <w:p w14:paraId="3DC1E4C6" w14:textId="77777777" w:rsidR="00314E67" w:rsidRDefault="00000000">
      <w:pPr>
        <w:pStyle w:val="NormalWeb"/>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8480" behindDoc="0" locked="0" layoutInCell="1" allowOverlap="1" wp14:anchorId="2D175AFE" wp14:editId="740A8136">
                <wp:simplePos x="0" y="0"/>
                <wp:positionH relativeFrom="margin">
                  <wp:posOffset>-58420</wp:posOffset>
                </wp:positionH>
                <wp:positionV relativeFrom="paragraph">
                  <wp:posOffset>158750</wp:posOffset>
                </wp:positionV>
                <wp:extent cx="5438775" cy="2431415"/>
                <wp:effectExtent l="5080" t="4445" r="12065" b="17780"/>
                <wp:wrapNone/>
                <wp:docPr id="4" name="Text Box 4"/>
                <wp:cNvGraphicFramePr/>
                <a:graphic xmlns:a="http://schemas.openxmlformats.org/drawingml/2006/main">
                  <a:graphicData uri="http://schemas.microsoft.com/office/word/2010/wordprocessingShape">
                    <wps:wsp>
                      <wps:cNvSpPr txBox="1"/>
                      <wps:spPr>
                        <a:xfrm>
                          <a:off x="0" y="0"/>
                          <a:ext cx="5438775" cy="2431415"/>
                        </a:xfrm>
                        <a:prstGeom prst="rect">
                          <a:avLst/>
                        </a:prstGeom>
                        <a:solidFill>
                          <a:schemeClr val="accent3">
                            <a:lumMod val="20000"/>
                            <a:lumOff val="80000"/>
                          </a:schemeClr>
                        </a:solidFill>
                        <a:ln w="6350">
                          <a:solidFill>
                            <a:prstClr val="black"/>
                          </a:solidFill>
                        </a:ln>
                      </wps:spPr>
                      <wps:txbx>
                        <w:txbxContent>
                          <w:p w14:paraId="01E00F25" w14:textId="77777777" w:rsidR="00314E67" w:rsidRDefault="00000000">
                            <w:pPr>
                              <w:pStyle w:val="NormalWeb"/>
                              <w:jc w:val="both"/>
                              <w:rPr>
                                <w:rFonts w:ascii="Arial" w:hAnsi="Arial" w:cs="Arial"/>
                                <w:sz w:val="22"/>
                                <w:szCs w:val="22"/>
                              </w:rPr>
                            </w:pPr>
                            <w:r>
                              <w:rPr>
                                <w:rFonts w:ascii="Arial" w:hAnsi="Arial" w:cs="Arial"/>
                                <w:sz w:val="22"/>
                                <w:szCs w:val="22"/>
                              </w:rPr>
                              <w:t>The correlation matrix heatmap offers a high-level, color-indexed diagnostic of the linear relationships between all variables within the feature space. Each cell in the grid represents the Pearson correlation coefficient (</w:t>
                            </w:r>
                            <w:r>
                              <w:rPr>
                                <w:rStyle w:val="math-inline"/>
                                <w:rFonts w:ascii="Arial" w:hAnsi="Arial" w:cs="Arial"/>
                                <w:sz w:val="22"/>
                                <w:szCs w:val="22"/>
                              </w:rPr>
                              <w:t>r</w:t>
                            </w:r>
                            <w:r>
                              <w:rPr>
                                <w:rFonts w:ascii="Arial" w:hAnsi="Arial" w:cs="Arial"/>
                                <w:sz w:val="22"/>
                                <w:szCs w:val="22"/>
                              </w:rPr>
                              <w:t xml:space="preserve">) between two variables, where the color intensity provides an immediate intuitive understanding of both the strength and the direction of the association. Warm colors (shifting toward red) indicate a strong positive relationship, while cool colors (shifting toward blue) signal a strong negative relationship. This visualization is functionally vital for two reasons: first, it identifies which independent variables have the highest predictive signal regarding </w:t>
                            </w:r>
                            <w:r>
                              <w:rPr>
                                <w:rStyle w:val="HTMLCode"/>
                                <w:rFonts w:ascii="Arial" w:hAnsi="Arial" w:cs="Arial"/>
                                <w:sz w:val="22"/>
                                <w:szCs w:val="22"/>
                              </w:rPr>
                              <w:t>GDP Growth</w:t>
                            </w:r>
                            <w:r>
                              <w:rPr>
                                <w:rFonts w:ascii="Arial" w:hAnsi="Arial" w:cs="Arial"/>
                                <w:sz w:val="22"/>
                                <w:szCs w:val="22"/>
                              </w:rPr>
                              <w:t>; second, it flags instances of high multicollinearity between independent variables. Detecting high multicollinearity is essential, as independent variables that are too highly correlated can inflate the variance of coefficient estimates, potentially destabilizing the performance of models like Linear Regression and necessitating the use of regularization techniques such as Ridge or Lasso to maintain predictive robustness.</w:t>
                            </w:r>
                          </w:p>
                          <w:p w14:paraId="0BB19EE4" w14:textId="77777777" w:rsidR="00314E67" w:rsidRDefault="00314E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D175AFE" id="Text Box 4" o:spid="_x0000_s1027" type="#_x0000_t202" style="position:absolute;left:0;text-align:left;margin-left:-4.6pt;margin-top:12.5pt;width:428.25pt;height:191.4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" fillcolor="#eaf1dd [662]" strokeweight=".5pt">
                <v:textbox>
                  <w:txbxContent>
                    <w:p w14:paraId="01E00F25" w14:textId="77777777" w:rsidR="00314E67" w:rsidRDefault="00000000">
                      <w:pPr>
                        <w:pStyle w:val="NormalWeb"/>
                        <w:jc w:val="both"/>
                        <w:rPr>
                          <w:rFonts w:ascii="Arial" w:hAnsi="Arial" w:cs="Arial"/>
                          <w:sz w:val="22"/>
                          <w:szCs w:val="22"/>
                        </w:rPr>
                      </w:pPr>
                      <w:r>
                        <w:rPr>
                          <w:rFonts w:ascii="Arial" w:hAnsi="Arial" w:cs="Arial"/>
                          <w:sz w:val="22"/>
                          <w:szCs w:val="22"/>
                        </w:rPr>
                        <w:t>The correlation matrix heatmap offers a high-level, color-indexed diagnostic of the linear relationships between all variables within the feature space. Each cell in the grid represents the Pearson correlation coefficient (</w:t>
                      </w:r>
                      <w:r>
                        <w:rPr>
                          <w:rStyle w:val="math-inline"/>
                          <w:rFonts w:ascii="Arial" w:hAnsi="Arial" w:cs="Arial"/>
                          <w:sz w:val="22"/>
                          <w:szCs w:val="22"/>
                        </w:rPr>
                        <w:t>r</w:t>
                      </w:r>
                      <w:r>
                        <w:rPr>
                          <w:rFonts w:ascii="Arial" w:hAnsi="Arial" w:cs="Arial"/>
                          <w:sz w:val="22"/>
                          <w:szCs w:val="22"/>
                        </w:rPr>
                        <w:t xml:space="preserve">) between two variables, where the color intensity provides an immediate intuitive understanding of both the strength and the direction of the association. Warm colors (shifting toward red) indicate a strong positive relationship, while cool colors (shifting toward blue) signal a strong negative relationship. This visualization is functionally vital for two reasons: first, it identifies which independent variables have the highest predictive signal regarding </w:t>
                      </w:r>
                      <w:r>
                        <w:rPr>
                          <w:rStyle w:val="HTMLCode"/>
                          <w:rFonts w:ascii="Arial" w:hAnsi="Arial" w:cs="Arial"/>
                          <w:sz w:val="22"/>
                          <w:szCs w:val="22"/>
                        </w:rPr>
                        <w:t>GDP Growth</w:t>
                      </w:r>
                      <w:r>
                        <w:rPr>
                          <w:rFonts w:ascii="Arial" w:hAnsi="Arial" w:cs="Arial"/>
                          <w:sz w:val="22"/>
                          <w:szCs w:val="22"/>
                        </w:rPr>
                        <w:t>; second, it flags instances of high multicollinearity between independent variables. Detecting high multicollinearity is essential, as independent variables that are too highly correlated can inflate the variance of coefficient estimates, potentially destabilizing the performance of models like Linear Regression and necessitating the use of regularization techniques such as Ridge or Lasso to maintain predictive robustness.</w:t>
                      </w:r>
                    </w:p>
                    <w:p w14:paraId="0BB19EE4" w14:textId="77777777" w:rsidR="00314E67" w:rsidRDefault="00314E67"/>
                  </w:txbxContent>
                </v:textbox>
                <w10:wrap anchorx="margin"/>
              </v:shape>
            </w:pict>
          </mc:Fallback>
        </mc:AlternateContent>
      </w:r>
      <w:r>
        <w:rPr>
          <w:rFonts w:ascii="Arial" w:hAnsi="Arial" w:cs="Arial"/>
          <w:sz w:val="22"/>
          <w:szCs w:val="22"/>
        </w:rPr>
        <w:t xml:space="preserve">      </w:t>
      </w:r>
    </w:p>
    <w:p w14:paraId="52724277" w14:textId="77777777" w:rsidR="00314E67" w:rsidRDefault="00314E67">
      <w:pPr>
        <w:pStyle w:val="Heading2"/>
        <w:jc w:val="both"/>
        <w:rPr>
          <w:b w:val="0"/>
          <w:bCs w:val="0"/>
          <w:shd w:val="pct15" w:color="auto" w:fill="FFFFFF"/>
        </w:rPr>
      </w:pPr>
    </w:p>
    <w:p w14:paraId="046CB476" w14:textId="77777777" w:rsidR="00314E67" w:rsidRDefault="00314E67">
      <w:pPr>
        <w:pStyle w:val="Heading2"/>
        <w:rPr>
          <w:shd w:val="pct15" w:color="auto" w:fill="FFFFFF"/>
        </w:rPr>
      </w:pPr>
    </w:p>
    <w:p w14:paraId="5953D58D" w14:textId="77777777" w:rsidR="00314E67" w:rsidRDefault="00314E67">
      <w:pPr>
        <w:pStyle w:val="Heading2"/>
      </w:pPr>
    </w:p>
    <w:p w14:paraId="00347564" w14:textId="77777777" w:rsidR="00314E67" w:rsidRDefault="00314E67">
      <w:pPr>
        <w:pStyle w:val="Heading2"/>
      </w:pPr>
    </w:p>
    <w:p w14:paraId="778837C5" w14:textId="77777777" w:rsidR="00314E67" w:rsidRDefault="00314E67">
      <w:pPr>
        <w:pStyle w:val="Heading2"/>
      </w:pPr>
    </w:p>
    <w:p w14:paraId="3FD0747B" w14:textId="77777777" w:rsidR="00314E67" w:rsidRDefault="00314E67">
      <w:pPr>
        <w:pStyle w:val="Heading2"/>
      </w:pPr>
    </w:p>
    <w:p w14:paraId="3B117AE9" w14:textId="77777777" w:rsidR="00314E67" w:rsidRDefault="00314E67">
      <w:pPr>
        <w:pStyle w:val="Heading2"/>
      </w:pPr>
    </w:p>
    <w:p w14:paraId="28A50986" w14:textId="77777777" w:rsidR="00314E67" w:rsidRDefault="00314E67"/>
    <w:p w14:paraId="5E6B1B17" w14:textId="77777777" w:rsidR="00314E67" w:rsidRDefault="00314E67"/>
    <w:p w14:paraId="4DFB3126" w14:textId="77777777" w:rsidR="00314E67" w:rsidRDefault="00314E67"/>
    <w:p w14:paraId="389958F2" w14:textId="77777777" w:rsidR="00314E67" w:rsidRDefault="00314E67"/>
    <w:p w14:paraId="6DF60318" w14:textId="77777777" w:rsidR="00314E67" w:rsidRDefault="00314E67"/>
    <w:p w14:paraId="140684B6" w14:textId="77777777" w:rsidR="00314E67" w:rsidRDefault="00314E67"/>
    <w:p w14:paraId="25D313BE" w14:textId="77777777" w:rsidR="00A96919" w:rsidRDefault="00A96919"/>
    <w:p w14:paraId="4E127C7E" w14:textId="77777777" w:rsidR="00A96919" w:rsidRDefault="00A96919"/>
    <w:p w14:paraId="24960004" w14:textId="77777777" w:rsidR="00A96919" w:rsidRDefault="00A96919"/>
    <w:p w14:paraId="591E038C" w14:textId="363EDC4B" w:rsidR="00314E67" w:rsidRDefault="00AF2D12">
      <w:r>
        <w:rPr>
          <w:b/>
          <w:bCs/>
          <w:noProof/>
        </w:rPr>
        <w:drawing>
          <wp:anchor distT="0" distB="0" distL="114300" distR="114300" simplePos="0" relativeHeight="251662336" behindDoc="1" locked="0" layoutInCell="1" allowOverlap="1" wp14:anchorId="58C1F4C3" wp14:editId="19745990">
            <wp:simplePos x="0" y="0"/>
            <wp:positionH relativeFrom="column">
              <wp:posOffset>-3175</wp:posOffset>
            </wp:positionH>
            <wp:positionV relativeFrom="paragraph">
              <wp:posOffset>5715</wp:posOffset>
            </wp:positionV>
            <wp:extent cx="5368290" cy="2238375"/>
            <wp:effectExtent l="0" t="0" r="381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8290" cy="2238375"/>
                    </a:xfrm>
                    <a:prstGeom prst="rect">
                      <a:avLst/>
                    </a:prstGeom>
                  </pic:spPr>
                </pic:pic>
              </a:graphicData>
            </a:graphic>
            <wp14:sizeRelH relativeFrom="margin">
              <wp14:pctWidth>0</wp14:pctWidth>
            </wp14:sizeRelH>
            <wp14:sizeRelV relativeFrom="margin">
              <wp14:pctHeight>0</wp14:pctHeight>
            </wp14:sizeRelV>
          </wp:anchor>
        </w:drawing>
      </w:r>
    </w:p>
    <w:p w14:paraId="6F7AEBFF" w14:textId="77777777" w:rsidR="00314E67" w:rsidRDefault="00314E67"/>
    <w:p w14:paraId="59BC832E" w14:textId="77777777" w:rsidR="00314E67" w:rsidRDefault="00314E67"/>
    <w:p w14:paraId="30016B21" w14:textId="77777777" w:rsidR="00314E67" w:rsidRDefault="00314E67"/>
    <w:p w14:paraId="4177AEA6" w14:textId="77777777" w:rsidR="00314E67" w:rsidRDefault="00314E67"/>
    <w:p w14:paraId="2773F218" w14:textId="77777777" w:rsidR="00314E67" w:rsidRDefault="00314E67"/>
    <w:p w14:paraId="261B49C1" w14:textId="77777777" w:rsidR="00314E67" w:rsidRDefault="00314E67"/>
    <w:p w14:paraId="7FE92C14" w14:textId="77777777" w:rsidR="00314E67" w:rsidRDefault="00314E67"/>
    <w:p w14:paraId="2F4CF999" w14:textId="77777777" w:rsidR="00314E67" w:rsidRDefault="00314E67"/>
    <w:p w14:paraId="37101FA6" w14:textId="77777777" w:rsidR="00314E67" w:rsidRDefault="00314E67"/>
    <w:p w14:paraId="009AFE92" w14:textId="77777777" w:rsidR="00314E67" w:rsidRDefault="00314E67"/>
    <w:p w14:paraId="5524E3A8" w14:textId="77777777" w:rsidR="00314E67" w:rsidRDefault="00314E67"/>
    <w:p w14:paraId="033E7BDA" w14:textId="77777777" w:rsidR="00314E67" w:rsidRDefault="00314E67"/>
    <w:p w14:paraId="0100E5E0" w14:textId="77777777" w:rsidR="00314E67" w:rsidRDefault="00314E67">
      <w:pPr>
        <w:pStyle w:val="Heading3"/>
        <w:rPr>
          <w:color w:val="548DD4" w:themeColor="text2" w:themeTint="99"/>
        </w:rPr>
      </w:pPr>
    </w:p>
    <w:p w14:paraId="1A7F69CA" w14:textId="77777777" w:rsidR="00314E67" w:rsidRDefault="00000000">
      <w:pPr>
        <w:pStyle w:val="Heading3"/>
        <w:rPr>
          <w:color w:val="548DD4" w:themeColor="text2" w:themeTint="99"/>
        </w:rPr>
      </w:pPr>
      <w:bookmarkStart w:id="18" w:name="sec-4-3-3"/>
      <w:r>
        <w:rPr>
          <w:color w:val="548DD4" w:themeColor="text2" w:themeTint="99"/>
        </w:rPr>
        <w:t>4.3.3 Distribution Plots</w:t>
      </w:r>
      <w:bookmarkEnd w:id="18"/>
    </w:p>
    <w:p w14:paraId="250A32B1" w14:textId="77777777" w:rsidR="00314E67" w:rsidRDefault="00314E67">
      <w:pPr>
        <w:pStyle w:val="Heading3"/>
        <w:rPr>
          <w:color w:val="548DD4" w:themeColor="text2" w:themeTint="99"/>
          <w:sz w:val="27"/>
          <w:szCs w:val="27"/>
        </w:rPr>
      </w:pPr>
    </w:p>
    <w:p w14:paraId="13477A25" w14:textId="77777777" w:rsidR="00314E67" w:rsidRDefault="00000000">
      <w:pPr>
        <w:pStyle w:val="NormalWeb"/>
        <w:jc w:val="both"/>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4C3E573E" wp14:editId="0EA5D1CC">
                <wp:simplePos x="0" y="0"/>
                <wp:positionH relativeFrom="margin">
                  <wp:posOffset>-187325</wp:posOffset>
                </wp:positionH>
                <wp:positionV relativeFrom="paragraph">
                  <wp:posOffset>19685</wp:posOffset>
                </wp:positionV>
                <wp:extent cx="5609590" cy="2896235"/>
                <wp:effectExtent l="4445" t="4445" r="9525" b="10160"/>
                <wp:wrapNone/>
                <wp:docPr id="5" name="Text Box 5"/>
                <wp:cNvGraphicFramePr/>
                <a:graphic xmlns:a="http://schemas.openxmlformats.org/drawingml/2006/main">
                  <a:graphicData uri="http://schemas.microsoft.com/office/word/2010/wordprocessingShape">
                    <wps:wsp>
                      <wps:cNvSpPr txBox="1"/>
                      <wps:spPr>
                        <a:xfrm>
                          <a:off x="0" y="0"/>
                          <a:ext cx="5609590" cy="2896235"/>
                        </a:xfrm>
                        <a:prstGeom prst="rect">
                          <a:avLst/>
                        </a:prstGeom>
                        <a:solidFill>
                          <a:schemeClr val="accent4">
                            <a:lumMod val="20000"/>
                            <a:lumOff val="80000"/>
                          </a:schemeClr>
                        </a:solidFill>
                        <a:ln w="6350">
                          <a:solidFill>
                            <a:prstClr val="black"/>
                          </a:solidFill>
                        </a:ln>
                      </wps:spPr>
                      <wps:txbx>
                        <w:txbxContent>
                          <w:p w14:paraId="202BC427" w14:textId="77777777" w:rsidR="00314E67" w:rsidRDefault="00000000">
                            <w:pPr>
                              <w:pStyle w:val="NormalWeb"/>
                              <w:jc w:val="both"/>
                              <w:rPr>
                                <w:rFonts w:ascii="Arial" w:hAnsi="Arial" w:cs="Arial"/>
                              </w:rPr>
                            </w:pPr>
                            <w:r>
                              <w:rPr>
                                <w:rFonts w:ascii="Arial" w:hAnsi="Arial" w:cs="Arial"/>
                              </w:rPr>
                              <w:t xml:space="preserve">       The distribution plots, generated using a combination of histograms and Kernel Density Estimation (KDE), allow for a granular assessment of the underlying statistical properties of each economic feature. By plotting the frequency distribution of variables like </w:t>
                            </w:r>
                            <w:r>
                              <w:rPr>
                                <w:rStyle w:val="HTMLCode"/>
                                <w:rFonts w:ascii="Arial" w:hAnsi="Arial" w:cs="Arial"/>
                              </w:rPr>
                              <w:t>FDI (% of GDP)</w:t>
                            </w:r>
                            <w:r>
                              <w:rPr>
                                <w:rFonts w:ascii="Arial" w:hAnsi="Arial" w:cs="Arial"/>
                              </w:rPr>
                              <w:t xml:space="preserve"> or </w:t>
                            </w:r>
                            <w:r>
                              <w:rPr>
                                <w:rStyle w:val="HTMLCode"/>
                                <w:rFonts w:ascii="Arial" w:hAnsi="Arial" w:cs="Arial"/>
                              </w:rPr>
                              <w:t>Gross Investment</w:t>
                            </w:r>
                            <w:r>
                              <w:rPr>
                                <w:rFonts w:ascii="Arial" w:hAnsi="Arial" w:cs="Arial"/>
                              </w:rPr>
                              <w:t>, we can evaluate the central tendency, dispersion (spread), and the presence of skewness or modality within the data. A normal or Gaussian distribution is ideal for many parametric models, so these plots serve as a visual quality-control step; they expose the presence of extreme outliers or heavy-tailed distributions that may not have been captured during standard preprocessing. Understanding these distributions is vital because if a variable displays significant skew, it might disproportionately influence the model's coefficients during the training phase, potentially leading to biased predictions that fail to account for the typical range of economic data.</w:t>
                            </w:r>
                          </w:p>
                          <w:p w14:paraId="4A10D5F9" w14:textId="77777777" w:rsidR="00314E67" w:rsidRDefault="00314E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3E573E" id="Text Box 5" o:spid="_x0000_s1028" type="#_x0000_t202" style="position:absolute;left:0;text-align:left;margin-left:-14.75pt;margin-top:1.55pt;width:441.7pt;height:228.0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" fillcolor="#e5dfec [663]" strokeweight=".5pt">
                <v:textbox>
                  <w:txbxContent>
                    <w:p w14:paraId="202BC427" w14:textId="77777777" w:rsidR="00314E67" w:rsidRDefault="00000000">
                      <w:pPr>
                        <w:pStyle w:val="NormalWeb"/>
                        <w:jc w:val="both"/>
                        <w:rPr>
                          <w:rFonts w:ascii="Arial" w:hAnsi="Arial" w:cs="Arial"/>
                        </w:rPr>
                      </w:pPr>
                      <w:r>
                        <w:rPr>
                          <w:rFonts w:ascii="Arial" w:hAnsi="Arial" w:cs="Arial"/>
                        </w:rPr>
                        <w:t xml:space="preserve">       The distribution plots, generated using a combination of histograms and Kernel Density Estimation (KDE), allow for a granular assessment of the underlying statistical properties of each economic feature. By plotting the frequency distribution of variables like </w:t>
                      </w:r>
                      <w:r>
                        <w:rPr>
                          <w:rStyle w:val="HTMLCode"/>
                          <w:rFonts w:ascii="Arial" w:hAnsi="Arial" w:cs="Arial"/>
                        </w:rPr>
                        <w:t>FDI (% of GDP)</w:t>
                      </w:r>
                      <w:r>
                        <w:rPr>
                          <w:rFonts w:ascii="Arial" w:hAnsi="Arial" w:cs="Arial"/>
                        </w:rPr>
                        <w:t xml:space="preserve"> or </w:t>
                      </w:r>
                      <w:r>
                        <w:rPr>
                          <w:rStyle w:val="HTMLCode"/>
                          <w:rFonts w:ascii="Arial" w:hAnsi="Arial" w:cs="Arial"/>
                        </w:rPr>
                        <w:t>Gross Investment</w:t>
                      </w:r>
                      <w:r>
                        <w:rPr>
                          <w:rFonts w:ascii="Arial" w:hAnsi="Arial" w:cs="Arial"/>
                        </w:rPr>
                        <w:t>, we can evaluate the central tendency, dispersion (spread), and the presence of skewness or modality within the data. A normal or Gaussian distribution is ideal for many parametric models, so these plots serve as a visual quality-control step; they expose the presence of extreme outliers or heavy-tailed distributions that may not have been captured during standard preprocessing. Understanding these distributions is vital because if a variable displays significant skew, it might disproportionately influence the model's coefficients during the training phase, potentially leading to biased predictions that fail to account for the typical range of economic data.</w:t>
                      </w:r>
                    </w:p>
                    <w:p w14:paraId="4A10D5F9" w14:textId="77777777" w:rsidR="00314E67" w:rsidRDefault="00314E67"/>
                  </w:txbxContent>
                </v:textbox>
                <w10:wrap anchorx="margin"/>
              </v:shape>
            </w:pict>
          </mc:Fallback>
        </mc:AlternateContent>
      </w:r>
      <w:r>
        <w:rPr>
          <w:rFonts w:ascii="Arial" w:hAnsi="Arial" w:cs="Arial"/>
        </w:rPr>
        <w:t xml:space="preserve">      </w:t>
      </w:r>
    </w:p>
    <w:p w14:paraId="3825A45D" w14:textId="77777777" w:rsidR="00314E67" w:rsidRDefault="00314E67"/>
    <w:p w14:paraId="171F477C" w14:textId="77777777" w:rsidR="00314E67" w:rsidRDefault="00314E67"/>
    <w:p w14:paraId="26062AFA" w14:textId="77777777" w:rsidR="00314E67" w:rsidRDefault="00314E67"/>
    <w:p w14:paraId="55AB84DF" w14:textId="77777777" w:rsidR="00314E67" w:rsidRDefault="00314E67"/>
    <w:p w14:paraId="301546DD" w14:textId="77777777" w:rsidR="00314E67" w:rsidRDefault="00314E67"/>
    <w:p w14:paraId="3B4C5CAF" w14:textId="77777777" w:rsidR="00314E67" w:rsidRDefault="00314E67"/>
    <w:p w14:paraId="7B8C7B97" w14:textId="77777777" w:rsidR="00314E67" w:rsidRDefault="00314E67"/>
    <w:p w14:paraId="576E3DC6" w14:textId="77777777" w:rsidR="00314E67" w:rsidRDefault="00314E67"/>
    <w:p w14:paraId="3B44C0C1" w14:textId="77777777" w:rsidR="00314E67" w:rsidRDefault="00314E67"/>
    <w:p w14:paraId="57A36E33" w14:textId="77777777" w:rsidR="00314E67" w:rsidRDefault="00314E67"/>
    <w:p w14:paraId="33C77C4F" w14:textId="77777777" w:rsidR="00314E67" w:rsidRDefault="00314E67"/>
    <w:p w14:paraId="06F8BE1E" w14:textId="77777777" w:rsidR="00314E67" w:rsidRDefault="00314E67"/>
    <w:p w14:paraId="0FA22918" w14:textId="77777777" w:rsidR="00314E67" w:rsidRDefault="00314E67"/>
    <w:p w14:paraId="5B0F26EE" w14:textId="77777777" w:rsidR="00314E67" w:rsidRDefault="00314E67"/>
    <w:p w14:paraId="6F554E8D" w14:textId="77777777" w:rsidR="00314E67" w:rsidRDefault="00314E67"/>
    <w:p w14:paraId="36B36C1D" w14:textId="77777777" w:rsidR="00314E67" w:rsidRDefault="00AF2D12">
      <w:r>
        <w:rPr>
          <w:noProof/>
        </w:rPr>
        <w:drawing>
          <wp:anchor distT="0" distB="0" distL="114300" distR="114300" simplePos="0" relativeHeight="251665408" behindDoc="1" locked="0" layoutInCell="1" allowOverlap="1" wp14:anchorId="0A6E44A5" wp14:editId="76D88126">
            <wp:simplePos x="0" y="0"/>
            <wp:positionH relativeFrom="margin">
              <wp:posOffset>-193676</wp:posOffset>
            </wp:positionH>
            <wp:positionV relativeFrom="paragraph">
              <wp:posOffset>172085</wp:posOffset>
            </wp:positionV>
            <wp:extent cx="5614035" cy="2328545"/>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14035" cy="2328545"/>
                    </a:xfrm>
                    <a:prstGeom prst="rect">
                      <a:avLst/>
                    </a:prstGeom>
                  </pic:spPr>
                </pic:pic>
              </a:graphicData>
            </a:graphic>
            <wp14:sizeRelH relativeFrom="margin">
              <wp14:pctWidth>0</wp14:pctWidth>
            </wp14:sizeRelH>
            <wp14:sizeRelV relativeFrom="margin">
              <wp14:pctHeight>0</wp14:pctHeight>
            </wp14:sizeRelV>
          </wp:anchor>
        </w:drawing>
      </w:r>
    </w:p>
    <w:p w14:paraId="1C4755CD" w14:textId="77777777" w:rsidR="00314E67" w:rsidRDefault="00314E67"/>
    <w:p w14:paraId="77B354F6" w14:textId="77777777" w:rsidR="00314E67" w:rsidRDefault="00314E67"/>
    <w:p w14:paraId="35CF6A1D" w14:textId="77777777" w:rsidR="00314E67" w:rsidRDefault="00314E67"/>
    <w:p w14:paraId="7126A10A" w14:textId="77777777" w:rsidR="00314E67" w:rsidRDefault="00314E67"/>
    <w:p w14:paraId="71FCF9E9" w14:textId="77777777" w:rsidR="00314E67" w:rsidRDefault="00314E67"/>
    <w:p w14:paraId="110C5476" w14:textId="77777777" w:rsidR="00314E67" w:rsidRDefault="00314E67"/>
    <w:p w14:paraId="2110ED3D" w14:textId="77777777" w:rsidR="00314E67" w:rsidRDefault="00314E67"/>
    <w:p w14:paraId="216A03BF" w14:textId="77777777" w:rsidR="00314E67" w:rsidRDefault="00314E67"/>
    <w:p w14:paraId="7B1E6DE8" w14:textId="77777777" w:rsidR="00314E67" w:rsidRDefault="00314E67"/>
    <w:p w14:paraId="596B4DF9" w14:textId="77777777" w:rsidR="00314E67" w:rsidRDefault="00314E67"/>
    <w:p w14:paraId="049B2A7E" w14:textId="77777777" w:rsidR="00314E67" w:rsidRDefault="00314E67"/>
    <w:p w14:paraId="4FB9DFDE" w14:textId="77777777" w:rsidR="00314E67" w:rsidRDefault="00314E67"/>
    <w:p w14:paraId="28CE150D" w14:textId="3F56B23E" w:rsidR="00314E67" w:rsidRDefault="00314E67"/>
    <w:p w14:paraId="050A5F8E" w14:textId="1F325AC1" w:rsidR="00314E67" w:rsidRDefault="00314E67"/>
    <w:p w14:paraId="7A00772A" w14:textId="7C00B901" w:rsidR="00314E67" w:rsidRDefault="00A96919">
      <w:r>
        <w:rPr>
          <w:b/>
          <w:bCs/>
          <w:noProof/>
          <w:shd w:val="pct15" w:color="auto" w:fill="FFFFFF"/>
        </w:rPr>
        <w:lastRenderedPageBreak/>
        <w:drawing>
          <wp:anchor distT="0" distB="0" distL="114300" distR="114300" simplePos="0" relativeHeight="251664384" behindDoc="1" locked="0" layoutInCell="1" allowOverlap="1" wp14:anchorId="520BE4A2" wp14:editId="553C295D">
            <wp:simplePos x="0" y="0"/>
            <wp:positionH relativeFrom="column">
              <wp:posOffset>19050</wp:posOffset>
            </wp:positionH>
            <wp:positionV relativeFrom="paragraph">
              <wp:posOffset>7620</wp:posOffset>
            </wp:positionV>
            <wp:extent cx="5399405" cy="352361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399405" cy="3523615"/>
                    </a:xfrm>
                    <a:prstGeom prst="rect">
                      <a:avLst/>
                    </a:prstGeom>
                  </pic:spPr>
                </pic:pic>
              </a:graphicData>
            </a:graphic>
          </wp:anchor>
        </w:drawing>
      </w:r>
    </w:p>
    <w:p w14:paraId="7EE88961" w14:textId="77777777" w:rsidR="00314E67" w:rsidRDefault="00314E67"/>
    <w:p w14:paraId="39EB49A5" w14:textId="77777777" w:rsidR="00314E67" w:rsidRDefault="00314E67"/>
    <w:p w14:paraId="12751F14" w14:textId="77777777" w:rsidR="00314E67" w:rsidRDefault="00314E67"/>
    <w:p w14:paraId="3235F777" w14:textId="77777777" w:rsidR="00314E67" w:rsidRDefault="00314E67"/>
    <w:p w14:paraId="5B6368B8" w14:textId="77777777" w:rsidR="00314E67" w:rsidRDefault="00314E67"/>
    <w:p w14:paraId="0FB5488B" w14:textId="77777777" w:rsidR="00314E67" w:rsidRDefault="00314E67"/>
    <w:p w14:paraId="38ACACFA" w14:textId="77777777" w:rsidR="00314E67" w:rsidRDefault="00314E67"/>
    <w:p w14:paraId="5374BA4D" w14:textId="77777777" w:rsidR="00314E67" w:rsidRDefault="00314E67"/>
    <w:p w14:paraId="401C00C0" w14:textId="77777777" w:rsidR="00314E67" w:rsidRDefault="00314E67"/>
    <w:p w14:paraId="0D55AB5B" w14:textId="77777777" w:rsidR="00314E67" w:rsidRDefault="00314E67"/>
    <w:p w14:paraId="2A9B813A" w14:textId="77777777" w:rsidR="00314E67" w:rsidRDefault="00314E67"/>
    <w:p w14:paraId="2AB94645" w14:textId="77777777" w:rsidR="00314E67" w:rsidRDefault="00314E67"/>
    <w:p w14:paraId="20C98163" w14:textId="77777777" w:rsidR="00314E67" w:rsidRDefault="00314E67"/>
    <w:p w14:paraId="6D756EE8" w14:textId="77777777" w:rsidR="00314E67" w:rsidRDefault="00314E67"/>
    <w:p w14:paraId="4D2CA01C" w14:textId="77777777" w:rsidR="00314E67" w:rsidRDefault="00314E67"/>
    <w:p w14:paraId="44072651" w14:textId="77777777" w:rsidR="00314E67" w:rsidRDefault="00314E67"/>
    <w:p w14:paraId="6155CA97" w14:textId="77777777" w:rsidR="00314E67" w:rsidRDefault="00314E67">
      <w:pPr>
        <w:pStyle w:val="Heading2"/>
      </w:pPr>
    </w:p>
    <w:p w14:paraId="3349E28A" w14:textId="77777777" w:rsidR="00314E67" w:rsidRDefault="00314E67">
      <w:pPr>
        <w:pStyle w:val="Heading2"/>
      </w:pPr>
    </w:p>
    <w:p w14:paraId="3484A040" w14:textId="77777777" w:rsidR="00314E67" w:rsidRDefault="00314E67">
      <w:pPr>
        <w:pStyle w:val="Heading2"/>
      </w:pPr>
    </w:p>
    <w:p w14:paraId="5F04821A" w14:textId="77777777" w:rsidR="00314E67" w:rsidRDefault="00000000">
      <w:pPr>
        <w:pStyle w:val="Heading2"/>
      </w:pPr>
      <w:bookmarkStart w:id="19" w:name="sec-4-4"/>
      <w:r>
        <w:t>4.4  Model / Analytical Approach</w:t>
      </w:r>
      <w:bookmarkEnd w:id="19"/>
    </w:p>
    <w:p w14:paraId="4B000AE4" w14:textId="77777777" w:rsidR="00314E67" w:rsidRDefault="00314E67"/>
    <w:p w14:paraId="5BAEB8CC" w14:textId="77777777" w:rsidR="00314E67" w:rsidRDefault="00000000">
      <w:pPr>
        <w:jc w:val="both"/>
      </w:pPr>
      <w:r>
        <w:t xml:space="preserve">     To predict GDP growth, the project employs a supervised learning regression framework. The analytical pipeline is designed to transform raw economic features into actionable insights while ensuring the model generalizes well to unseen data. The approach is structured into three primary phases:</w:t>
      </w:r>
    </w:p>
    <w:p w14:paraId="58F4607F" w14:textId="77777777" w:rsidR="00314E67" w:rsidRDefault="00314E67">
      <w:pPr>
        <w:jc w:val="both"/>
      </w:pPr>
    </w:p>
    <w:p w14:paraId="3226C1AD" w14:textId="77777777" w:rsidR="00314E67" w:rsidRDefault="00000000">
      <w:pPr>
        <w:rPr>
          <w:b/>
          <w:bCs/>
          <w:color w:val="365F91" w:themeColor="accent1" w:themeShade="BF"/>
          <w:sz w:val="24"/>
          <w:szCs w:val="24"/>
        </w:rPr>
      </w:pPr>
      <w:r>
        <w:rPr>
          <w:b/>
          <w:bCs/>
          <w:color w:val="365F91" w:themeColor="accent1" w:themeShade="BF"/>
          <w:sz w:val="24"/>
          <w:szCs w:val="24"/>
        </w:rPr>
        <w:t>4.4.1. Data Partitioning and Scaling</w:t>
      </w:r>
    </w:p>
    <w:p w14:paraId="13E0E603" w14:textId="77777777" w:rsidR="00314E67" w:rsidRDefault="00314E67">
      <w:pPr>
        <w:rPr>
          <w:b/>
          <w:bCs/>
          <w:color w:val="365F91" w:themeColor="accent1" w:themeShade="BF"/>
          <w:sz w:val="24"/>
          <w:szCs w:val="24"/>
        </w:rPr>
      </w:pPr>
    </w:p>
    <w:p w14:paraId="35E4C49A" w14:textId="77777777" w:rsidR="00314E67" w:rsidRDefault="00000000">
      <w:pPr>
        <w:pStyle w:val="NormalWeb"/>
        <w:jc w:val="both"/>
        <w:rPr>
          <w:rFonts w:ascii="Arial" w:hAnsi="Arial" w:cs="Arial"/>
          <w:sz w:val="22"/>
          <w:szCs w:val="22"/>
        </w:rPr>
      </w:pPr>
      <w:r>
        <w:rPr>
          <w:rFonts w:ascii="Arial" w:hAnsi="Arial" w:cs="Arial"/>
          <w:sz w:val="22"/>
          <w:szCs w:val="22"/>
        </w:rPr>
        <w:t xml:space="preserve">    To assess model performance objectively, the dataset was partitioned into training and testing subsets. Utilizing an 80/20 split—where </w:t>
      </w:r>
      <w:r>
        <w:rPr>
          <w:rStyle w:val="math-inline"/>
          <w:rFonts w:ascii="Arial" w:hAnsi="Arial" w:cs="Arial"/>
          <w:sz w:val="22"/>
          <w:szCs w:val="22"/>
        </w:rPr>
        <w:t>80%</w:t>
      </w:r>
      <w:r>
        <w:rPr>
          <w:rFonts w:ascii="Arial" w:hAnsi="Arial" w:cs="Arial"/>
          <w:sz w:val="22"/>
          <w:szCs w:val="22"/>
        </w:rPr>
        <w:t xml:space="preserve"> of the data is used to train the model and </w:t>
      </w:r>
      <w:r>
        <w:rPr>
          <w:rStyle w:val="math-inline"/>
          <w:rFonts w:ascii="Arial" w:hAnsi="Arial" w:cs="Arial"/>
          <w:sz w:val="22"/>
          <w:szCs w:val="22"/>
        </w:rPr>
        <w:t>20%</w:t>
      </w:r>
      <w:r>
        <w:rPr>
          <w:rFonts w:ascii="Arial" w:hAnsi="Arial" w:cs="Arial"/>
          <w:sz w:val="22"/>
          <w:szCs w:val="22"/>
        </w:rPr>
        <w:t xml:space="preserve"> is reserved for validation—ensures that the model learns representative economic patterns without simply memorizing the historical input.</w:t>
      </w:r>
    </w:p>
    <w:p w14:paraId="245714AD" w14:textId="77777777" w:rsidR="00314E67" w:rsidRDefault="00000000">
      <w:pPr>
        <w:pStyle w:val="NormalWeb"/>
        <w:jc w:val="both"/>
        <w:rPr>
          <w:rFonts w:ascii="Arial" w:hAnsi="Arial" w:cs="Arial"/>
          <w:sz w:val="22"/>
          <w:szCs w:val="22"/>
        </w:rPr>
      </w:pPr>
      <w:r>
        <w:rPr>
          <w:rFonts w:ascii="Arial" w:hAnsi="Arial" w:cs="Arial"/>
          <w:sz w:val="22"/>
          <w:szCs w:val="22"/>
        </w:rPr>
        <w:t xml:space="preserve">       Prior to modeling, feature scaling was applied using the </w:t>
      </w:r>
      <w:r>
        <w:rPr>
          <w:rStyle w:val="HTMLCode"/>
          <w:rFonts w:ascii="Arial" w:hAnsi="Arial" w:cs="Arial"/>
          <w:sz w:val="22"/>
          <w:szCs w:val="22"/>
        </w:rPr>
        <w:t>StandardScaler</w:t>
      </w:r>
      <w:r>
        <w:rPr>
          <w:rFonts w:ascii="Arial" w:hAnsi="Arial" w:cs="Arial"/>
          <w:sz w:val="22"/>
          <w:szCs w:val="22"/>
        </w:rPr>
        <w:t xml:space="preserve"> technique. This transformation centers the data by subtracting the mean and scaling to unit variance:</w:t>
      </w:r>
    </w:p>
    <w:p w14:paraId="3BC0E453" w14:textId="77777777" w:rsidR="00314E67" w:rsidRDefault="00000000">
      <w:r>
        <w:rPr>
          <w:b/>
          <w:bCs/>
          <w:noProof/>
          <w:color w:val="365F91" w:themeColor="accent1" w:themeShade="BF"/>
          <w:sz w:val="24"/>
          <w:szCs w:val="24"/>
        </w:rPr>
        <w:drawing>
          <wp:anchor distT="0" distB="0" distL="114300" distR="114300" simplePos="0" relativeHeight="251666432" behindDoc="1" locked="0" layoutInCell="1" allowOverlap="1" wp14:anchorId="5DE6B24C" wp14:editId="7652E965">
            <wp:simplePos x="0" y="0"/>
            <wp:positionH relativeFrom="column">
              <wp:posOffset>1863725</wp:posOffset>
            </wp:positionH>
            <wp:positionV relativeFrom="paragraph">
              <wp:posOffset>4445</wp:posOffset>
            </wp:positionV>
            <wp:extent cx="1280160" cy="6477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280271" cy="647756"/>
                    </a:xfrm>
                    <a:prstGeom prst="rect">
                      <a:avLst/>
                    </a:prstGeom>
                  </pic:spPr>
                </pic:pic>
              </a:graphicData>
            </a:graphic>
          </wp:anchor>
        </w:drawing>
      </w:r>
    </w:p>
    <w:p w14:paraId="720415D2" w14:textId="77777777" w:rsidR="00314E67" w:rsidRDefault="00314E67"/>
    <w:p w14:paraId="21C6190B" w14:textId="77777777" w:rsidR="00314E67" w:rsidRDefault="00314E67"/>
    <w:p w14:paraId="47BB894C" w14:textId="77777777" w:rsidR="00314E67" w:rsidRDefault="00000000">
      <w:pPr>
        <w:jc w:val="both"/>
      </w:pPr>
      <w:r>
        <w:t xml:space="preserve">     </w:t>
      </w:r>
    </w:p>
    <w:p w14:paraId="008EFB56" w14:textId="77777777" w:rsidR="00314E67" w:rsidRDefault="00314E67">
      <w:pPr>
        <w:jc w:val="both"/>
      </w:pPr>
    </w:p>
    <w:p w14:paraId="084CB3BD" w14:textId="77777777" w:rsidR="00314E67" w:rsidRDefault="00314E67">
      <w:pPr>
        <w:jc w:val="both"/>
      </w:pPr>
    </w:p>
    <w:p w14:paraId="0198148F" w14:textId="77777777" w:rsidR="00314E67" w:rsidRDefault="00000000">
      <w:pPr>
        <w:jc w:val="both"/>
      </w:pPr>
      <w:r>
        <w:t xml:space="preserve">        This normalization step is critical as it places all economic indicators (e.g., inflation rates, FDI, and exports) on a comparable scale, preventing variables with larger absolute magnitudes from disproportionately influencing the model's coefficients.</w:t>
      </w:r>
    </w:p>
    <w:p w14:paraId="42596816" w14:textId="77777777" w:rsidR="00314E67" w:rsidRDefault="00314E67"/>
    <w:p w14:paraId="7AFAE3AD" w14:textId="77777777" w:rsidR="00314E67" w:rsidRDefault="00000000">
      <w:pPr>
        <w:rPr>
          <w:b/>
          <w:bCs/>
          <w:color w:val="365F91" w:themeColor="accent1" w:themeShade="BF"/>
        </w:rPr>
      </w:pPr>
      <w:r>
        <w:rPr>
          <w:b/>
          <w:bCs/>
          <w:color w:val="365F91" w:themeColor="accent1" w:themeShade="BF"/>
        </w:rPr>
        <w:t>4.5. Model Selection and Training</w:t>
      </w:r>
    </w:p>
    <w:p w14:paraId="05FD6314" w14:textId="77777777" w:rsidR="00314E67" w:rsidRDefault="00314E67"/>
    <w:p w14:paraId="64CEBA39" w14:textId="6D669E39" w:rsidR="00314E67" w:rsidRDefault="00000000">
      <w:r>
        <w:lastRenderedPageBreak/>
        <w:t xml:space="preserve">      Three regression algorithms were selected to model the relationship between the independent variables and GDP growth:</w:t>
      </w:r>
    </w:p>
    <w:p w14:paraId="69CB133E" w14:textId="77777777" w:rsidR="00314E67" w:rsidRDefault="00314E67"/>
    <w:p w14:paraId="2EAE1900" w14:textId="77777777" w:rsidR="00314E67" w:rsidRDefault="00000000">
      <w:pPr>
        <w:pStyle w:val="NormalWeb"/>
        <w:rPr>
          <w:rFonts w:ascii="Arial" w:hAnsi="Arial" w:cs="Arial"/>
        </w:rPr>
      </w:pPr>
      <w:r>
        <w:rPr>
          <w:rFonts w:ascii="Arial" w:hAnsi="Arial" w:cs="Arial"/>
        </w:rPr>
        <w:t xml:space="preserve">  </w:t>
      </w:r>
      <w:r>
        <w:rPr>
          <w:rFonts w:ascii="Arial" w:hAnsi="Arial" w:cs="Arial"/>
          <w:b/>
          <w:bCs/>
        </w:rPr>
        <w:t>Linear Regression:</w:t>
      </w:r>
      <w:r>
        <w:rPr>
          <w:rFonts w:ascii="Arial" w:hAnsi="Arial" w:cs="Arial"/>
        </w:rPr>
        <w:t xml:space="preserve"> Served as the baseline model, establishing the foundational linear relationship between the predictors and the target variable.</w:t>
      </w:r>
    </w:p>
    <w:p w14:paraId="6801E8EB" w14:textId="77777777" w:rsidR="00314E67" w:rsidRDefault="00000000">
      <w:pPr>
        <w:pStyle w:val="NormalWeb"/>
        <w:rPr>
          <w:rFonts w:ascii="Arial" w:hAnsi="Arial" w:cs="Arial"/>
        </w:rPr>
      </w:pPr>
      <w:r>
        <w:rPr>
          <w:rFonts w:ascii="Arial" w:hAnsi="Arial" w:cs="Arial"/>
        </w:rPr>
        <w:t xml:space="preserve">  </w:t>
      </w:r>
      <w:r>
        <w:rPr>
          <w:rFonts w:ascii="Arial" w:hAnsi="Arial" w:cs="Arial"/>
          <w:b/>
          <w:bCs/>
        </w:rPr>
        <w:t>Ridge Regression (</w:t>
      </w:r>
      <w:r>
        <w:rPr>
          <w:rStyle w:val="math-inline"/>
          <w:rFonts w:ascii="Arial" w:hAnsi="Arial" w:cs="Arial"/>
          <w:b/>
          <w:bCs/>
        </w:rPr>
        <w:t>alpha=0.01</w:t>
      </w:r>
      <w:r>
        <w:rPr>
          <w:rFonts w:ascii="Arial" w:hAnsi="Arial" w:cs="Arial"/>
          <w:b/>
          <w:bCs/>
        </w:rPr>
        <w:t>):</w:t>
      </w:r>
      <w:r>
        <w:rPr>
          <w:rFonts w:ascii="Arial" w:hAnsi="Arial" w:cs="Arial"/>
        </w:rPr>
        <w:t xml:space="preserve"> Employed to mitigate potential multicollinearity issues identified during the EDA. By adding an </w:t>
      </w:r>
      <m:oMath>
        <m:sSub>
          <m:sSubPr>
            <m:ctrlPr>
              <w:rPr>
                <w:rFonts w:ascii="Cambria Math" w:hAnsi="Cambria Math" w:cs="Arial"/>
                <w:i/>
              </w:rPr>
            </m:ctrlPr>
          </m:sSubPr>
          <m:e>
            <m:r>
              <w:rPr>
                <w:rFonts w:ascii="Cambria Math" w:hAnsi="Cambria Math" w:cs="Arial"/>
              </w:rPr>
              <m:t>L</m:t>
            </m:r>
          </m:e>
          <m:sub>
            <m:r>
              <w:rPr>
                <w:rFonts w:ascii="Cambria Math" w:hAnsi="Cambria Math" w:cs="Arial"/>
              </w:rPr>
              <m:t>2</m:t>
            </m:r>
          </m:sub>
        </m:sSub>
      </m:oMath>
      <w:r>
        <w:rPr>
          <w:rFonts w:ascii="Arial" w:hAnsi="Arial" w:cs="Arial"/>
        </w:rPr>
        <w:t xml:space="preserve"> penalty term to the loss function, Ridge shrinks coefficients to improve model stability.</w:t>
      </w:r>
    </w:p>
    <w:p w14:paraId="2C5169FF" w14:textId="77777777" w:rsidR="00314E67" w:rsidRDefault="00000000">
      <w:pPr>
        <w:pStyle w:val="NormalWeb"/>
        <w:rPr>
          <w:rFonts w:ascii="Arial" w:hAnsi="Arial" w:cs="Arial"/>
        </w:rPr>
      </w:pPr>
      <w:r>
        <w:rPr>
          <w:rFonts w:ascii="Arial" w:hAnsi="Arial" w:cs="Arial"/>
        </w:rPr>
        <w:t xml:space="preserve">  </w:t>
      </w:r>
      <w:r>
        <w:rPr>
          <w:rFonts w:ascii="Arial" w:hAnsi="Arial" w:cs="Arial"/>
          <w:b/>
          <w:bCs/>
        </w:rPr>
        <w:t>Lasso Regression (</w:t>
      </w:r>
      <w:r>
        <w:rPr>
          <w:rStyle w:val="math-inline"/>
          <w:rFonts w:ascii="Arial" w:hAnsi="Arial" w:cs="Arial"/>
          <w:b/>
          <w:bCs/>
        </w:rPr>
        <w:t>alpha=0.01</w:t>
      </w:r>
      <w:r>
        <w:rPr>
          <w:rFonts w:ascii="Arial" w:hAnsi="Arial" w:cs="Arial"/>
          <w:b/>
          <w:bCs/>
        </w:rPr>
        <w:t>):</w:t>
      </w:r>
      <w:r>
        <w:rPr>
          <w:rFonts w:ascii="Arial" w:hAnsi="Arial" w:cs="Arial"/>
        </w:rPr>
        <w:t xml:space="preserve"> Utilized to perform feature regularization. The </w:t>
      </w:r>
      <m:oMath>
        <m:sSub>
          <m:sSubPr>
            <m:ctrlPr>
              <w:rPr>
                <w:rFonts w:ascii="Cambria Math" w:hAnsi="Cambria Math" w:cs="Arial"/>
                <w:i/>
              </w:rPr>
            </m:ctrlPr>
          </m:sSubPr>
          <m:e>
            <m:r>
              <w:rPr>
                <w:rFonts w:ascii="Cambria Math" w:hAnsi="Cambria Math" w:cs="Arial"/>
              </w:rPr>
              <m:t>L</m:t>
            </m:r>
          </m:e>
          <m:sub>
            <m:r>
              <w:rPr>
                <w:rFonts w:ascii="Cambria Math" w:hAnsi="Cambria Math" w:cs="Arial"/>
              </w:rPr>
              <m:t>1</m:t>
            </m:r>
          </m:sub>
        </m:sSub>
      </m:oMath>
      <w:r>
        <w:rPr>
          <w:rFonts w:ascii="Arial" w:hAnsi="Arial" w:cs="Arial"/>
        </w:rPr>
        <w:t xml:space="preserve"> penalty encourages sparsity, effectively performing feature selection by shrinking less significant coefficients toward zero, which enhances the model's interpretability.</w:t>
      </w:r>
    </w:p>
    <w:p w14:paraId="4A5C2152" w14:textId="77777777" w:rsidR="00314E67" w:rsidRDefault="00000000">
      <w:pPr>
        <w:pStyle w:val="NormalWeb"/>
        <w:rPr>
          <w:rFonts w:ascii="Arial" w:hAnsi="Arial" w:cs="Arial"/>
          <w:b/>
          <w:bCs/>
          <w:color w:val="365F91" w:themeColor="accent1" w:themeShade="BF"/>
        </w:rPr>
      </w:pPr>
      <w:r>
        <w:rPr>
          <w:rFonts w:ascii="Arial" w:hAnsi="Arial" w:cs="Arial"/>
          <w:b/>
          <w:bCs/>
          <w:color w:val="365F91" w:themeColor="accent1" w:themeShade="BF"/>
        </w:rPr>
        <w:t>4.5.1 . Model Formulation</w:t>
      </w:r>
    </w:p>
    <w:p w14:paraId="4B771DC8" w14:textId="77777777" w:rsidR="00314E67" w:rsidRDefault="00000000">
      <w:pPr>
        <w:rPr>
          <w:sz w:val="24"/>
          <w:szCs w:val="24"/>
        </w:rPr>
      </w:pPr>
      <w:r>
        <w:rPr>
          <w:sz w:val="24"/>
          <w:szCs w:val="24"/>
        </w:rPr>
        <w:t xml:space="preserve">Each model seeks to minimize a cost function </w:t>
      </w:r>
      <m:oMath>
        <m:r>
          <w:rPr>
            <w:rFonts w:ascii="Cambria Math" w:hAnsi="Cambria Math"/>
            <w:sz w:val="24"/>
            <w:szCs w:val="24"/>
          </w:rPr>
          <m:t>J(β)</m:t>
        </m:r>
      </m:oMath>
      <w:r>
        <w:rPr>
          <w:sz w:val="24"/>
          <w:szCs w:val="24"/>
        </w:rPr>
        <w:t xml:space="preserve">, where </w:t>
      </w:r>
      <m:oMath>
        <m:r>
          <w:rPr>
            <w:rFonts w:ascii="Cambria Math" w:hAnsi="Cambria Math"/>
            <w:sz w:val="24"/>
            <w:szCs w:val="24"/>
          </w:rPr>
          <m:t>Y</m:t>
        </m:r>
      </m:oMath>
      <w:r>
        <w:rPr>
          <w:sz w:val="24"/>
          <w:szCs w:val="24"/>
        </w:rPr>
        <w:t xml:space="preserve"> is the target (GDP Growth) and </w:t>
      </w:r>
      <m:oMath>
        <m:r>
          <w:rPr>
            <w:rFonts w:ascii="Cambria Math" w:hAnsi="Cambria Math"/>
            <w:sz w:val="24"/>
            <w:szCs w:val="24"/>
          </w:rPr>
          <m:t>X</m:t>
        </m:r>
      </m:oMath>
      <w:r>
        <w:rPr>
          <w:sz w:val="24"/>
          <w:szCs w:val="24"/>
        </w:rPr>
        <w:t xml:space="preserve"> represents the feature matrix. </w:t>
      </w:r>
    </w:p>
    <w:p w14:paraId="33BE5713" w14:textId="77777777" w:rsidR="00314E67" w:rsidRDefault="00314E67">
      <w:pPr>
        <w:rPr>
          <w:sz w:val="24"/>
          <w:szCs w:val="24"/>
        </w:rPr>
      </w:pPr>
    </w:p>
    <w:p w14:paraId="281F5071" w14:textId="77777777" w:rsidR="00314E67" w:rsidRDefault="00000000">
      <w:pPr>
        <w:rPr>
          <w:b/>
          <w:bCs/>
          <w:sz w:val="24"/>
          <w:szCs w:val="24"/>
        </w:rPr>
      </w:pPr>
      <w:r>
        <w:rPr>
          <w:b/>
          <w:bCs/>
          <w:sz w:val="24"/>
          <w:szCs w:val="24"/>
        </w:rPr>
        <w:t xml:space="preserve">Base Line model : </w:t>
      </w:r>
      <m:oMath>
        <m:r>
          <m:rPr>
            <m:sty m:val="bi"/>
          </m:rPr>
          <w:rPr>
            <w:rFonts w:ascii="Cambria Math" w:hAnsi="Cambria Math"/>
            <w:sz w:val="24"/>
            <w:szCs w:val="24"/>
          </w:rPr>
          <m:t xml:space="preserve">Y= </m:t>
        </m:r>
        <m:nary>
          <m:naryPr>
            <m:chr m:val="∑"/>
            <m:limLoc m:val="undOvr"/>
            <m:ctrlPr>
              <w:rPr>
                <w:rFonts w:ascii="Cambria Math" w:hAnsi="Cambria Math"/>
                <w:b/>
                <w:bCs/>
                <w:i/>
                <w:sz w:val="24"/>
                <w:szCs w:val="24"/>
              </w:rPr>
            </m:ctrlPr>
          </m:naryPr>
          <m:sub>
            <m:r>
              <m:rPr>
                <m:sty m:val="bi"/>
              </m:rPr>
              <w:rPr>
                <w:rFonts w:ascii="Cambria Math" w:hAnsi="Cambria Math"/>
                <w:sz w:val="24"/>
                <w:szCs w:val="24"/>
              </w:rPr>
              <m:t>i=0</m:t>
            </m:r>
          </m:sub>
          <m:sup>
            <m:r>
              <m:rPr>
                <m:sty m:val="bi"/>
              </m:rPr>
              <w:rPr>
                <w:rFonts w:ascii="Cambria Math" w:hAnsi="Cambria Math"/>
                <w:sz w:val="24"/>
                <w:szCs w:val="24"/>
              </w:rPr>
              <m:t>8</m:t>
            </m:r>
          </m:sup>
          <m:e>
            <m:sSub>
              <m:sSubPr>
                <m:ctrlPr>
                  <w:rPr>
                    <w:rFonts w:ascii="Cambria Math" w:hAnsi="Cambria Math"/>
                    <w:b/>
                    <w:bCs/>
                    <w:i/>
                    <w:sz w:val="24"/>
                    <w:szCs w:val="24"/>
                  </w:rPr>
                </m:ctrlPr>
              </m:sSubPr>
              <m:e>
                <m:r>
                  <m:rPr>
                    <m:sty m:val="bi"/>
                  </m:rPr>
                  <w:rPr>
                    <w:rFonts w:ascii="Cambria Math" w:hAnsi="Cambria Math"/>
                    <w:sz w:val="24"/>
                    <w:szCs w:val="24"/>
                  </w:rPr>
                  <m:t>β</m:t>
                </m:r>
              </m:e>
              <m:sub>
                <m:r>
                  <m:rPr>
                    <m:sty m:val="bi"/>
                  </m:rPr>
                  <w:rPr>
                    <w:rFonts w:ascii="Cambria Math" w:hAnsi="Cambria Math"/>
                    <w:sz w:val="24"/>
                    <w:szCs w:val="24"/>
                  </w:rPr>
                  <m:t>i</m:t>
                </m:r>
              </m:sub>
            </m:sSub>
          </m:e>
        </m:nary>
        <m:sSub>
          <m:sSubPr>
            <m:ctrlPr>
              <w:rPr>
                <w:rFonts w:ascii="Cambria Math" w:hAnsi="Cambria Math"/>
                <w:b/>
                <w:bCs/>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oMath>
    </w:p>
    <w:p w14:paraId="545DBF0A" w14:textId="77777777" w:rsidR="00314E67" w:rsidRDefault="00314E67">
      <w:pPr>
        <w:rPr>
          <w:sz w:val="24"/>
          <w:szCs w:val="24"/>
        </w:rPr>
      </w:pPr>
    </w:p>
    <w:p w14:paraId="2B76C11E" w14:textId="77777777" w:rsidR="00314E67" w:rsidRDefault="00000000">
      <w:pPr>
        <w:pStyle w:val="NormalWeb"/>
        <w:rPr>
          <w:rFonts w:ascii="Arial" w:hAnsi="Arial" w:cs="Arial"/>
          <w:b/>
          <w:bCs/>
          <w:color w:val="365F91" w:themeColor="accent1" w:themeShade="BF"/>
        </w:rPr>
      </w:pPr>
      <w:r>
        <w:rPr>
          <w:rFonts w:ascii="Arial" w:hAnsi="Arial" w:cs="Arial"/>
          <w:b/>
          <w:bCs/>
          <w:color w:val="365F91" w:themeColor="accent1" w:themeShade="BF"/>
        </w:rPr>
        <w:t xml:space="preserve">         1. Linear Regression :</w:t>
      </w:r>
    </w:p>
    <w:p w14:paraId="05DB779D" w14:textId="77777777" w:rsidR="00314E67" w:rsidRDefault="00000000">
      <w:pPr>
        <w:pStyle w:val="NormalWeb"/>
        <w:jc w:val="both"/>
        <w:rPr>
          <w:rFonts w:ascii="Arial" w:hAnsi="Arial" w:cs="Arial"/>
        </w:rPr>
      </w:pPr>
      <w:r>
        <w:rPr>
          <w:rFonts w:ascii="Arial" w:hAnsi="Arial" w:cs="Arial"/>
          <w:b/>
          <w:bCs/>
          <w:color w:val="365F91" w:themeColor="accent1" w:themeShade="BF"/>
        </w:rPr>
        <w:t xml:space="preserve">             </w:t>
      </w:r>
      <w:r>
        <w:rPr>
          <w:rFonts w:ascii="Arial" w:hAnsi="Arial" w:cs="Arial"/>
        </w:rPr>
        <w:t>The baseline model minimizes the Sum of Squared Residuals (SSR):</w:t>
      </w:r>
    </w:p>
    <w:p w14:paraId="4F888219" w14:textId="77777777" w:rsidR="00314E67" w:rsidRDefault="00000000">
      <w:pPr>
        <w:pStyle w:val="NormalWeb"/>
        <w:jc w:val="both"/>
        <w:rPr>
          <w:rFonts w:ascii="Arial" w:hAnsi="Arial" w:cs="Arial"/>
          <w:b/>
          <w:bCs/>
          <w:color w:val="000000" w:themeColor="text1"/>
        </w:rPr>
      </w:pPr>
      <w:r>
        <w:rPr>
          <w:rFonts w:ascii="Arial" w:hAnsi="Arial" w:cs="Arial"/>
          <w:b/>
          <w:bCs/>
          <w:color w:val="365F91" w:themeColor="accent1" w:themeShade="BF"/>
        </w:rPr>
        <w:t xml:space="preserve">                                     </w:t>
      </w:r>
      <m:oMath>
        <m:r>
          <m:rPr>
            <m:sty m:val="bi"/>
          </m:rPr>
          <w:rPr>
            <w:rFonts w:ascii="Cambria Math" w:hAnsi="Cambria Math" w:cs="Arial"/>
            <w:color w:val="000000" w:themeColor="text1"/>
          </w:rPr>
          <m:t>J</m:t>
        </m:r>
        <m:d>
          <m:dPr>
            <m:ctrlPr>
              <w:rPr>
                <w:rFonts w:ascii="Cambria Math" w:hAnsi="Cambria Math" w:cs="Arial"/>
                <w:b/>
                <w:bCs/>
                <w:i/>
                <w:color w:val="000000" w:themeColor="text1"/>
              </w:rPr>
            </m:ctrlPr>
          </m:dPr>
          <m:e>
            <m:r>
              <m:rPr>
                <m:sty m:val="bi"/>
              </m:rPr>
              <w:rPr>
                <w:rFonts w:ascii="Cambria Math" w:hAnsi="Cambria Math" w:cs="Arial"/>
                <w:color w:val="000000" w:themeColor="text1"/>
              </w:rPr>
              <m:t>β</m:t>
            </m:r>
          </m:e>
        </m:d>
        <m:r>
          <m:rPr>
            <m:sty m:val="bi"/>
          </m:rPr>
          <w:rPr>
            <w:rFonts w:ascii="Cambria Math" w:hAnsi="Cambria Math" w:cs="Arial"/>
            <w:color w:val="000000" w:themeColor="text1"/>
          </w:rPr>
          <m:t xml:space="preserve">= </m:t>
        </m:r>
        <m:nary>
          <m:naryPr>
            <m:chr m:val="∑"/>
            <m:limLoc m:val="undOvr"/>
            <m:ctrlPr>
              <w:rPr>
                <w:rFonts w:ascii="Cambria Math" w:hAnsi="Cambria Math" w:cs="Arial"/>
                <w:b/>
                <w:bCs/>
                <w:i/>
                <w:color w:val="000000" w:themeColor="text1"/>
              </w:rPr>
            </m:ctrlPr>
          </m:naryPr>
          <m:sub>
            <m:r>
              <m:rPr>
                <m:sty m:val="bi"/>
              </m:rPr>
              <w:rPr>
                <w:rFonts w:ascii="Cambria Math" w:hAnsi="Cambria Math" w:cs="Arial"/>
                <w:color w:val="000000" w:themeColor="text1"/>
              </w:rPr>
              <m:t>i=1</m:t>
            </m:r>
          </m:sub>
          <m:sup>
            <m:r>
              <m:rPr>
                <m:sty m:val="bi"/>
              </m:rPr>
              <w:rPr>
                <w:rFonts w:ascii="Cambria Math" w:hAnsi="Cambria Math" w:cs="Arial"/>
                <w:color w:val="000000" w:themeColor="text1"/>
              </w:rPr>
              <m:t>n</m:t>
            </m:r>
          </m:sup>
          <m:e>
            <m:r>
              <m:rPr>
                <m:sty m:val="bi"/>
              </m:rPr>
              <w:rPr>
                <w:rFonts w:ascii="Cambria Math" w:hAnsi="Cambria Math" w:cs="Arial"/>
                <w:color w:val="000000" w:themeColor="text1"/>
              </w:rPr>
              <m:t>(</m:t>
            </m:r>
            <m:sSub>
              <m:sSubPr>
                <m:ctrlPr>
                  <w:rPr>
                    <w:rFonts w:ascii="Cambria Math" w:hAnsi="Cambria Math" w:cs="Arial"/>
                    <w:b/>
                    <w:bCs/>
                    <w:i/>
                    <w:color w:val="000000" w:themeColor="text1"/>
                  </w:rPr>
                </m:ctrlPr>
              </m:sSubPr>
              <m:e>
                <m:r>
                  <m:rPr>
                    <m:sty m:val="bi"/>
                  </m:rPr>
                  <w:rPr>
                    <w:rFonts w:ascii="Cambria Math" w:hAnsi="Cambria Math" w:cs="Arial"/>
                    <w:color w:val="000000" w:themeColor="text1"/>
                  </w:rPr>
                  <m:t>y</m:t>
                </m:r>
              </m:e>
              <m:sub>
                <m:r>
                  <m:rPr>
                    <m:sty m:val="bi"/>
                  </m:rPr>
                  <w:rPr>
                    <w:rFonts w:ascii="Cambria Math" w:hAnsi="Cambria Math" w:cs="Arial"/>
                    <w:color w:val="000000" w:themeColor="text1"/>
                  </w:rPr>
                  <m:t>i</m:t>
                </m:r>
              </m:sub>
            </m:sSub>
            <m:r>
              <m:rPr>
                <m:sty m:val="bi"/>
              </m:rPr>
              <w:rPr>
                <w:rFonts w:ascii="Cambria Math" w:hAnsi="Cambria Math" w:cs="Arial"/>
                <w:color w:val="000000" w:themeColor="text1"/>
              </w:rPr>
              <m:t>-</m:t>
            </m:r>
            <m:nary>
              <m:naryPr>
                <m:chr m:val="∑"/>
                <m:limLoc m:val="undOvr"/>
                <m:ctrlPr>
                  <w:rPr>
                    <w:rFonts w:ascii="Cambria Math" w:hAnsi="Cambria Math" w:cs="Arial"/>
                    <w:b/>
                    <w:bCs/>
                    <w:i/>
                    <w:color w:val="000000" w:themeColor="text1"/>
                  </w:rPr>
                </m:ctrlPr>
              </m:naryPr>
              <m:sub>
                <m:r>
                  <m:rPr>
                    <m:sty m:val="bi"/>
                  </m:rPr>
                  <w:rPr>
                    <w:rFonts w:ascii="Cambria Math" w:hAnsi="Cambria Math" w:cs="Arial"/>
                    <w:color w:val="000000" w:themeColor="text1"/>
                  </w:rPr>
                  <m:t>j=1</m:t>
                </m:r>
              </m:sub>
              <m:sup>
                <m:r>
                  <m:rPr>
                    <m:sty m:val="bi"/>
                  </m:rPr>
                  <w:rPr>
                    <w:rFonts w:ascii="Cambria Math" w:hAnsi="Cambria Math" w:cs="Arial"/>
                    <w:color w:val="000000" w:themeColor="text1"/>
                  </w:rPr>
                  <m:t>n</m:t>
                </m:r>
              </m:sup>
              <m:e>
                <m:sSub>
                  <m:sSubPr>
                    <m:ctrlPr>
                      <w:rPr>
                        <w:rFonts w:ascii="Cambria Math" w:hAnsi="Cambria Math" w:cs="Arial"/>
                        <w:b/>
                        <w:bCs/>
                        <w:i/>
                        <w:color w:val="000000" w:themeColor="text1"/>
                      </w:rPr>
                    </m:ctrlPr>
                  </m:sSubPr>
                  <m:e>
                    <m:r>
                      <m:rPr>
                        <m:sty m:val="bi"/>
                      </m:rPr>
                      <w:rPr>
                        <w:rFonts w:ascii="Cambria Math" w:hAnsi="Cambria Math" w:cs="Arial"/>
                        <w:color w:val="000000" w:themeColor="text1"/>
                      </w:rPr>
                      <m:t>β</m:t>
                    </m:r>
                  </m:e>
                  <m:sub>
                    <m:r>
                      <m:rPr>
                        <m:sty m:val="bi"/>
                      </m:rPr>
                      <w:rPr>
                        <w:rFonts w:ascii="Cambria Math" w:hAnsi="Cambria Math" w:cs="Arial"/>
                        <w:color w:val="000000" w:themeColor="text1"/>
                      </w:rPr>
                      <m:t>j</m:t>
                    </m:r>
                  </m:sub>
                </m:sSub>
                <m:sSub>
                  <m:sSubPr>
                    <m:ctrlPr>
                      <w:rPr>
                        <w:rFonts w:ascii="Cambria Math" w:hAnsi="Cambria Math" w:cs="Arial"/>
                        <w:b/>
                        <w:bCs/>
                        <w:i/>
                        <w:color w:val="000000" w:themeColor="text1"/>
                      </w:rPr>
                    </m:ctrlPr>
                  </m:sSubPr>
                  <m:e>
                    <m:r>
                      <m:rPr>
                        <m:sty m:val="bi"/>
                      </m:rPr>
                      <w:rPr>
                        <w:rFonts w:ascii="Cambria Math" w:hAnsi="Cambria Math" w:cs="Arial"/>
                        <w:color w:val="000000" w:themeColor="text1"/>
                      </w:rPr>
                      <m:t>X</m:t>
                    </m:r>
                  </m:e>
                  <m:sub>
                    <m:r>
                      <m:rPr>
                        <m:sty m:val="bi"/>
                      </m:rPr>
                      <w:rPr>
                        <w:rFonts w:ascii="Cambria Math" w:hAnsi="Cambria Math" w:cs="Arial"/>
                        <w:color w:val="000000" w:themeColor="text1"/>
                      </w:rPr>
                      <m:t>ij</m:t>
                    </m:r>
                  </m:sub>
                </m:sSub>
              </m:e>
            </m:nary>
          </m:e>
        </m:nary>
      </m:oMath>
    </w:p>
    <w:p w14:paraId="42F3DE89" w14:textId="77777777" w:rsidR="00314E67" w:rsidRDefault="00000000">
      <w:pPr>
        <w:jc w:val="both"/>
        <w:rPr>
          <w:sz w:val="24"/>
          <w:szCs w:val="24"/>
        </w:rPr>
      </w:pPr>
      <w:r>
        <w:rPr>
          <w:b/>
          <w:bCs/>
          <w:color w:val="365F91" w:themeColor="accent1" w:themeShade="BF"/>
        </w:rPr>
        <w:t xml:space="preserve">              </w:t>
      </w:r>
      <w:r>
        <w:rPr>
          <w:sz w:val="24"/>
          <w:szCs w:val="24"/>
        </w:rPr>
        <w:t>This model provides the foundation by finding the coefficients $\beta$ that minimize the vertical distance between the observed data points and the fitted regression line.</w:t>
      </w:r>
    </w:p>
    <w:p w14:paraId="20AD055D" w14:textId="77777777" w:rsidR="00314E67" w:rsidRDefault="00000000">
      <w:pPr>
        <w:pStyle w:val="NormalWeb"/>
        <w:rPr>
          <w:rFonts w:ascii="Arial" w:hAnsi="Arial" w:cs="Arial"/>
          <w:b/>
          <w:bCs/>
          <w:color w:val="365F91" w:themeColor="accent1" w:themeShade="BF"/>
        </w:rPr>
      </w:pPr>
      <w:r>
        <w:rPr>
          <w:rFonts w:ascii="Arial" w:hAnsi="Arial" w:cs="Arial"/>
        </w:rPr>
        <w:t xml:space="preserve">          </w:t>
      </w:r>
      <w:r>
        <w:rPr>
          <w:rFonts w:ascii="Arial" w:hAnsi="Arial" w:cs="Arial"/>
          <w:b/>
          <w:bCs/>
          <w:color w:val="365F91" w:themeColor="accent1" w:themeShade="BF"/>
        </w:rPr>
        <w:t>2.  Ridge Regression :</w:t>
      </w:r>
    </w:p>
    <w:p w14:paraId="28B3813A" w14:textId="77777777" w:rsidR="00314E67" w:rsidRDefault="00000000">
      <w:pPr>
        <w:rPr>
          <w:sz w:val="24"/>
          <w:szCs w:val="24"/>
        </w:rPr>
      </w:pPr>
      <w:r>
        <w:rPr>
          <w:b/>
          <w:bCs/>
          <w:color w:val="365F91" w:themeColor="accent1" w:themeShade="BF"/>
        </w:rPr>
        <w:t xml:space="preserve">                </w:t>
      </w:r>
      <w:r>
        <w:rPr>
          <w:sz w:val="24"/>
          <w:szCs w:val="24"/>
        </w:rPr>
        <w:t>To address potential multicollinearity identified in the EDA, Ridge regression adds a penalty term proportional to the square of the magnitude of the coefficients (alpha is the regularization strength):</w:t>
      </w:r>
    </w:p>
    <w:p w14:paraId="097149A4" w14:textId="77777777" w:rsidR="00314E67" w:rsidRDefault="00000000">
      <w:pPr>
        <w:rPr>
          <w:sz w:val="24"/>
          <w:szCs w:val="24"/>
        </w:rPr>
      </w:pPr>
      <w:r>
        <w:rPr>
          <w:sz w:val="24"/>
          <w:szCs w:val="24"/>
        </w:rPr>
        <w:t xml:space="preserve">  </w:t>
      </w:r>
    </w:p>
    <w:p w14:paraId="5A22DB90" w14:textId="77777777" w:rsidR="00314E67" w:rsidRDefault="00000000">
      <w:pPr>
        <w:rPr>
          <w:b/>
          <w:bCs/>
          <w:color w:val="000000" w:themeColor="text1"/>
          <w:sz w:val="24"/>
          <w:szCs w:val="24"/>
        </w:rPr>
      </w:pPr>
      <w:r>
        <w:rPr>
          <w:sz w:val="24"/>
          <w:szCs w:val="24"/>
        </w:rPr>
        <w:t xml:space="preserve">                                 </w:t>
      </w:r>
      <m:oMath>
        <m:r>
          <w:rPr>
            <w:rFonts w:ascii="Cambria Math" w:hAnsi="Cambria Math"/>
            <w:sz w:val="24"/>
            <w:szCs w:val="24"/>
          </w:rPr>
          <m:t>J</m:t>
        </m:r>
        <m:d>
          <m:dPr>
            <m:ctrlPr>
              <w:rPr>
                <w:rFonts w:ascii="Cambria Math" w:hAnsi="Cambria Math"/>
                <w:i/>
                <w:sz w:val="24"/>
                <w:szCs w:val="24"/>
              </w:rPr>
            </m:ctrlPr>
          </m:dPr>
          <m:e>
            <m:r>
              <w:rPr>
                <w:rFonts w:ascii="Cambria Math" w:hAnsi="Cambria Math"/>
                <w:sz w:val="24"/>
                <w:szCs w:val="24"/>
              </w:rPr>
              <m:t>β</m:t>
            </m:r>
          </m:e>
        </m:d>
        <m:r>
          <w:rPr>
            <w:rFonts w:ascii="Cambria Math" w:hAnsi="Cambria Math"/>
            <w:sz w:val="24"/>
            <w:szCs w:val="24"/>
          </w:rPr>
          <m:t xml:space="preserve">= </m:t>
        </m:r>
        <m:nary>
          <m:naryPr>
            <m:chr m:val="∑"/>
            <m:limLoc m:val="undOvr"/>
            <m:ctrlPr>
              <w:rPr>
                <w:rFonts w:ascii="Cambria Math" w:hAnsi="Cambria Math"/>
                <w:b/>
                <w:bCs/>
                <w:i/>
                <w:color w:val="000000" w:themeColor="text1"/>
                <w:sz w:val="24"/>
                <w:szCs w:val="24"/>
              </w:rPr>
            </m:ctrlPr>
          </m:naryPr>
          <m:sub>
            <m:r>
              <m:rPr>
                <m:sty m:val="bi"/>
              </m:rPr>
              <w:rPr>
                <w:rFonts w:ascii="Cambria Math" w:hAnsi="Cambria Math"/>
                <w:color w:val="000000" w:themeColor="text1"/>
              </w:rPr>
              <m:t>i=1</m:t>
            </m:r>
          </m:sub>
          <m:sup>
            <m:r>
              <m:rPr>
                <m:sty m:val="bi"/>
              </m:rPr>
              <w:rPr>
                <w:rFonts w:ascii="Cambria Math" w:hAnsi="Cambria Math"/>
                <w:color w:val="000000" w:themeColor="text1"/>
              </w:rPr>
              <m:t>n</m:t>
            </m:r>
          </m:sup>
          <m:e>
            <m:sSup>
              <m:sSupPr>
                <m:ctrlPr>
                  <w:rPr>
                    <w:rFonts w:ascii="Cambria Math" w:hAnsi="Cambria Math"/>
                    <w:b/>
                    <w:bCs/>
                    <w:i/>
                    <w:color w:val="000000" w:themeColor="text1"/>
                    <w:sz w:val="24"/>
                    <w:szCs w:val="24"/>
                  </w:rPr>
                </m:ctrlPr>
              </m:sSupPr>
              <m:e>
                <m:sSub>
                  <m:sSubPr>
                    <m:ctrlPr>
                      <w:rPr>
                        <w:rFonts w:ascii="Cambria Math" w:hAnsi="Cambria Math"/>
                        <w:b/>
                        <w:bCs/>
                        <w:i/>
                        <w:color w:val="000000" w:themeColor="text1"/>
                        <w:sz w:val="24"/>
                        <w:szCs w:val="24"/>
                      </w:rPr>
                    </m:ctrlPr>
                  </m:sSubPr>
                  <m:e>
                    <m:r>
                      <m:rPr>
                        <m:sty m:val="bi"/>
                      </m:rPr>
                      <w:rPr>
                        <w:rFonts w:ascii="Cambria Math" w:hAnsi="Cambria Math"/>
                        <w:color w:val="000000" w:themeColor="text1"/>
                      </w:rPr>
                      <m:t>(y</m:t>
                    </m:r>
                  </m:e>
                  <m:sub>
                    <m:r>
                      <m:rPr>
                        <m:sty m:val="bi"/>
                      </m:rPr>
                      <w:rPr>
                        <w:rFonts w:ascii="Cambria Math" w:hAnsi="Cambria Math"/>
                        <w:color w:val="000000" w:themeColor="text1"/>
                      </w:rPr>
                      <m:t>i</m:t>
                    </m:r>
                  </m:sub>
                </m:sSub>
                <m:r>
                  <m:rPr>
                    <m:sty m:val="bi"/>
                  </m:rPr>
                  <w:rPr>
                    <w:rFonts w:ascii="Cambria Math" w:hAnsi="Cambria Math"/>
                    <w:color w:val="000000" w:themeColor="text1"/>
                  </w:rPr>
                  <m:t>-</m:t>
                </m:r>
                <m:nary>
                  <m:naryPr>
                    <m:chr m:val="∑"/>
                    <m:limLoc m:val="undOvr"/>
                    <m:ctrlPr>
                      <w:rPr>
                        <w:rFonts w:ascii="Cambria Math" w:hAnsi="Cambria Math"/>
                        <w:b/>
                        <w:bCs/>
                        <w:i/>
                        <w:color w:val="000000" w:themeColor="text1"/>
                      </w:rPr>
                    </m:ctrlPr>
                  </m:naryPr>
                  <m:sub>
                    <m:r>
                      <m:rPr>
                        <m:sty m:val="bi"/>
                      </m:rPr>
                      <w:rPr>
                        <w:rFonts w:ascii="Cambria Math" w:hAnsi="Cambria Math"/>
                        <w:color w:val="000000" w:themeColor="text1"/>
                      </w:rPr>
                      <m:t>j=1</m:t>
                    </m:r>
                  </m:sub>
                  <m:sup>
                    <m:r>
                      <m:rPr>
                        <m:sty m:val="bi"/>
                      </m:rPr>
                      <w:rPr>
                        <w:rFonts w:ascii="Cambria Math" w:hAnsi="Cambria Math"/>
                        <w:color w:val="000000" w:themeColor="text1"/>
                      </w:rPr>
                      <m:t>p</m:t>
                    </m:r>
                  </m:sup>
                  <m:e>
                    <m:sSub>
                      <m:sSubPr>
                        <m:ctrlPr>
                          <w:rPr>
                            <w:rFonts w:ascii="Cambria Math" w:hAnsi="Cambria Math"/>
                            <w:b/>
                            <w:bCs/>
                            <w:i/>
                            <w:color w:val="000000" w:themeColor="text1"/>
                          </w:rPr>
                        </m:ctrlPr>
                      </m:sSubPr>
                      <m:e>
                        <m:r>
                          <m:rPr>
                            <m:sty m:val="bi"/>
                          </m:rPr>
                          <w:rPr>
                            <w:rFonts w:ascii="Cambria Math" w:hAnsi="Cambria Math"/>
                            <w:color w:val="000000" w:themeColor="text1"/>
                          </w:rPr>
                          <m:t>β</m:t>
                        </m:r>
                      </m:e>
                      <m:sub>
                        <m:r>
                          <m:rPr>
                            <m:sty m:val="bi"/>
                          </m:rPr>
                          <w:rPr>
                            <w:rFonts w:ascii="Cambria Math" w:hAnsi="Cambria Math"/>
                            <w:color w:val="000000" w:themeColor="text1"/>
                          </w:rPr>
                          <m:t>j</m:t>
                        </m:r>
                      </m:sub>
                    </m:sSub>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ij</m:t>
                        </m:r>
                      </m:sub>
                    </m:sSub>
                  </m:e>
                </m:nary>
                <m:r>
                  <m:rPr>
                    <m:sty m:val="bi"/>
                  </m:rPr>
                  <w:rPr>
                    <w:rFonts w:ascii="Cambria Math" w:hAnsi="Cambria Math"/>
                    <w:color w:val="000000" w:themeColor="text1"/>
                  </w:rPr>
                  <m:t>)</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+α</m:t>
            </m:r>
            <m:nary>
              <m:naryPr>
                <m:chr m:val="∑"/>
                <m:limLoc m:val="undOvr"/>
                <m:ctrlPr>
                  <w:rPr>
                    <w:rFonts w:ascii="Cambria Math" w:hAnsi="Cambria Math"/>
                    <w:b/>
                    <w:bCs/>
                    <w:i/>
                    <w:color w:val="000000" w:themeColor="text1"/>
                    <w:sz w:val="24"/>
                    <w:szCs w:val="24"/>
                  </w:rPr>
                </m:ctrlPr>
              </m:naryPr>
              <m:sub>
                <m:r>
                  <m:rPr>
                    <m:sty m:val="bi"/>
                  </m:rPr>
                  <w:rPr>
                    <w:rFonts w:ascii="Cambria Math" w:hAnsi="Cambria Math"/>
                    <w:color w:val="000000" w:themeColor="text1"/>
                    <w:sz w:val="24"/>
                    <w:szCs w:val="24"/>
                  </w:rPr>
                  <m:t>j=1</m:t>
                </m:r>
              </m:sub>
              <m:sup>
                <m:r>
                  <m:rPr>
                    <m:sty m:val="bi"/>
                  </m:rPr>
                  <w:rPr>
                    <w:rFonts w:ascii="Cambria Math" w:hAnsi="Cambria Math"/>
                    <w:color w:val="000000" w:themeColor="text1"/>
                    <w:sz w:val="24"/>
                    <w:szCs w:val="24"/>
                  </w:rPr>
                  <m:t>p</m:t>
                </m:r>
              </m:sup>
              <m:e>
                <m:sSub>
                  <m:sSubPr>
                    <m:ctrlPr>
                      <w:rPr>
                        <w:rFonts w:ascii="Cambria Math" w:hAnsi="Cambria Math"/>
                        <w:b/>
                        <w:bCs/>
                        <w:i/>
                        <w:color w:val="000000" w:themeColor="text1"/>
                        <w:sz w:val="24"/>
                        <w:szCs w:val="24"/>
                      </w:rPr>
                    </m:ctrlPr>
                  </m:sSubPr>
                  <m:e>
                    <m:sSup>
                      <m:sSupPr>
                        <m:ctrlPr>
                          <w:rPr>
                            <w:rFonts w:ascii="Cambria Math" w:hAnsi="Cambria Math"/>
                            <w:b/>
                            <w:bCs/>
                            <w:i/>
                            <w:color w:val="000000" w:themeColor="text1"/>
                            <w:sz w:val="24"/>
                            <w:szCs w:val="24"/>
                          </w:rPr>
                        </m:ctrlPr>
                      </m:sSupPr>
                      <m:e>
                        <m:r>
                          <m:rPr>
                            <m:sty m:val="bi"/>
                          </m:rPr>
                          <w:rPr>
                            <w:rFonts w:ascii="Cambria Math" w:hAnsi="Cambria Math"/>
                            <w:color w:val="000000" w:themeColor="text1"/>
                            <w:sz w:val="24"/>
                            <w:szCs w:val="24"/>
                          </w:rPr>
                          <m:t>β</m:t>
                        </m:r>
                      </m:e>
                      <m:sup>
                        <m:r>
                          <m:rPr>
                            <m:sty m:val="bi"/>
                          </m:rPr>
                          <w:rPr>
                            <w:rFonts w:ascii="Cambria Math" w:hAnsi="Cambria Math"/>
                            <w:color w:val="000000" w:themeColor="text1"/>
                            <w:sz w:val="24"/>
                            <w:szCs w:val="24"/>
                          </w:rPr>
                          <m:t>2</m:t>
                        </m:r>
                      </m:sup>
                    </m:sSup>
                  </m:e>
                  <m:sub>
                    <m:r>
                      <m:rPr>
                        <m:sty m:val="bi"/>
                      </m:rPr>
                      <w:rPr>
                        <w:rFonts w:ascii="Cambria Math" w:hAnsi="Cambria Math"/>
                        <w:color w:val="000000" w:themeColor="text1"/>
                        <w:sz w:val="24"/>
                        <w:szCs w:val="24"/>
                      </w:rPr>
                      <m:t>j</m:t>
                    </m:r>
                  </m:sub>
                </m:sSub>
              </m:e>
            </m:nary>
          </m:e>
        </m:nary>
      </m:oMath>
      <w:r>
        <w:rPr>
          <w:b/>
          <w:bCs/>
          <w:color w:val="000000" w:themeColor="text1"/>
          <w:sz w:val="24"/>
          <w:szCs w:val="24"/>
        </w:rPr>
        <w:t xml:space="preserve"> </w:t>
      </w:r>
    </w:p>
    <w:p w14:paraId="064E0BFE" w14:textId="77777777" w:rsidR="00314E67" w:rsidRDefault="00314E67">
      <w:pPr>
        <w:rPr>
          <w:b/>
          <w:bCs/>
          <w:color w:val="000000" w:themeColor="text1"/>
          <w:sz w:val="24"/>
          <w:szCs w:val="24"/>
        </w:rPr>
      </w:pPr>
    </w:p>
    <w:p w14:paraId="7B2EB93B" w14:textId="77777777" w:rsidR="00314E67" w:rsidRDefault="00000000">
      <w:pPr>
        <w:jc w:val="both"/>
        <w:rPr>
          <w:sz w:val="24"/>
          <w:szCs w:val="24"/>
        </w:rPr>
      </w:pPr>
      <w:r>
        <w:t>This formulation prevents coefficients from becoming excessively large, which stabilizes the model when independent variables are highly correlated.</w:t>
      </w:r>
    </w:p>
    <w:p w14:paraId="4A8501D9" w14:textId="77777777" w:rsidR="00314E67" w:rsidRDefault="00314E67">
      <w:pPr>
        <w:pStyle w:val="NormalWeb"/>
        <w:rPr>
          <w:rFonts w:ascii="Arial" w:hAnsi="Arial" w:cs="Arial"/>
          <w:b/>
          <w:bCs/>
          <w:color w:val="365F91" w:themeColor="accent1" w:themeShade="BF"/>
        </w:rPr>
      </w:pPr>
    </w:p>
    <w:p w14:paraId="4ED05A21" w14:textId="77777777" w:rsidR="00A96919" w:rsidRDefault="00000000">
      <w:pPr>
        <w:pStyle w:val="NormalWeb"/>
        <w:rPr>
          <w:rFonts w:ascii="Arial" w:hAnsi="Arial" w:cs="Arial"/>
          <w:b/>
          <w:bCs/>
          <w:color w:val="365F91" w:themeColor="accent1" w:themeShade="BF"/>
        </w:rPr>
      </w:pPr>
      <w:r>
        <w:rPr>
          <w:rFonts w:ascii="Arial" w:hAnsi="Arial" w:cs="Arial"/>
          <w:b/>
          <w:bCs/>
          <w:color w:val="365F91" w:themeColor="accent1" w:themeShade="BF"/>
        </w:rPr>
        <w:t xml:space="preserve">             </w:t>
      </w:r>
    </w:p>
    <w:p w14:paraId="6F5AD959" w14:textId="77777777" w:rsidR="00A96919" w:rsidRDefault="00A96919">
      <w:pPr>
        <w:pStyle w:val="NormalWeb"/>
        <w:rPr>
          <w:rFonts w:ascii="Arial" w:hAnsi="Arial" w:cs="Arial"/>
          <w:b/>
          <w:bCs/>
          <w:color w:val="365F91" w:themeColor="accent1" w:themeShade="BF"/>
        </w:rPr>
      </w:pPr>
    </w:p>
    <w:p w14:paraId="6BA4AD95" w14:textId="2A1E8180" w:rsidR="00314E67" w:rsidRDefault="00000000">
      <w:pPr>
        <w:pStyle w:val="NormalWeb"/>
        <w:rPr>
          <w:rFonts w:ascii="Arial" w:hAnsi="Arial" w:cs="Arial"/>
          <w:b/>
          <w:bCs/>
          <w:color w:val="365F91" w:themeColor="accent1" w:themeShade="BF"/>
        </w:rPr>
      </w:pPr>
      <w:r>
        <w:rPr>
          <w:rFonts w:ascii="Arial" w:hAnsi="Arial" w:cs="Arial"/>
          <w:b/>
          <w:bCs/>
          <w:color w:val="365F91" w:themeColor="accent1" w:themeShade="BF"/>
        </w:rPr>
        <w:lastRenderedPageBreak/>
        <w:t xml:space="preserve"> 3. Lasso Regression :</w:t>
      </w:r>
    </w:p>
    <w:p w14:paraId="27A41F79" w14:textId="77777777" w:rsidR="00314E67" w:rsidRDefault="00000000">
      <w:pPr>
        <w:pStyle w:val="NormalWeb"/>
        <w:jc w:val="both"/>
        <w:rPr>
          <w:rFonts w:ascii="Arial" w:hAnsi="Arial" w:cs="Arial"/>
          <w:b/>
          <w:bCs/>
          <w:color w:val="365F91" w:themeColor="accent1" w:themeShade="BF"/>
        </w:rPr>
      </w:pPr>
      <w:r>
        <w:rPr>
          <w:rFonts w:ascii="Arial" w:hAnsi="Arial" w:cs="Arial"/>
          <w:b/>
          <w:bCs/>
          <w:color w:val="365F91" w:themeColor="accent1" w:themeShade="BF"/>
        </w:rPr>
        <w:t xml:space="preserve">  </w:t>
      </w:r>
      <w:r>
        <w:rPr>
          <w:rFonts w:ascii="Arial" w:hAnsi="Arial" w:cs="Arial"/>
          <w:b/>
          <w:bCs/>
          <w:color w:val="365F91" w:themeColor="accent1" w:themeShade="BF"/>
        </w:rPr>
        <w:tab/>
        <w:t xml:space="preserve">       </w:t>
      </w:r>
      <w:r>
        <w:rPr>
          <w:rFonts w:ascii="Arial" w:hAnsi="Arial" w:cs="Arial"/>
        </w:rPr>
        <w:t>Lasso regression adds a penalty term proportional to the absolute value of the coefficients:</w:t>
      </w:r>
    </w:p>
    <w:p w14:paraId="5E581FA0" w14:textId="77777777" w:rsidR="00314E67" w:rsidRDefault="00000000">
      <w:r>
        <w:tab/>
      </w:r>
      <w:r>
        <w:tab/>
      </w:r>
      <w:r>
        <w:tab/>
        <w:t xml:space="preserve">  </w:t>
      </w:r>
      <m:oMath>
        <m:r>
          <w:rPr>
            <w:rFonts w:ascii="Cambria Math" w:hAnsi="Cambria Math"/>
          </w:rPr>
          <m:t>J</m:t>
        </m:r>
        <m:d>
          <m:dPr>
            <m:ctrlPr>
              <w:rPr>
                <w:rFonts w:ascii="Cambria Math" w:hAnsi="Cambria Math"/>
                <w:i/>
              </w:rPr>
            </m:ctrlPr>
          </m:dPr>
          <m:e>
            <m:r>
              <w:rPr>
                <w:rFonts w:ascii="Cambria Math" w:hAnsi="Cambria Math"/>
              </w:rPr>
              <m:t>β</m:t>
            </m:r>
          </m:e>
        </m:d>
        <m:r>
          <w:rPr>
            <w:rFonts w:ascii="Cambria Math" w:hAnsi="Cambria Math"/>
          </w:rPr>
          <m:t xml:space="preserve">= </m:t>
        </m:r>
        <m:nary>
          <m:naryPr>
            <m:chr m:val="∑"/>
            <m:limLoc m:val="undOvr"/>
            <m:ctrlPr>
              <w:rPr>
                <w:rFonts w:ascii="Cambria Math" w:hAnsi="Cambria Math"/>
                <w:b/>
                <w:bCs/>
                <w:i/>
                <w:color w:val="000000" w:themeColor="text1"/>
                <w:sz w:val="24"/>
                <w:szCs w:val="24"/>
              </w:rPr>
            </m:ctrlPr>
          </m:naryPr>
          <m:sub>
            <m:r>
              <m:rPr>
                <m:sty m:val="bi"/>
              </m:rPr>
              <w:rPr>
                <w:rFonts w:ascii="Cambria Math" w:hAnsi="Cambria Math"/>
                <w:color w:val="000000" w:themeColor="text1"/>
              </w:rPr>
              <m:t>i=1</m:t>
            </m:r>
          </m:sub>
          <m:sup>
            <m:r>
              <m:rPr>
                <m:sty m:val="bi"/>
              </m:rPr>
              <w:rPr>
                <w:rFonts w:ascii="Cambria Math" w:hAnsi="Cambria Math"/>
                <w:color w:val="000000" w:themeColor="text1"/>
              </w:rPr>
              <m:t>n</m:t>
            </m:r>
          </m:sup>
          <m:e>
            <m:sSup>
              <m:sSupPr>
                <m:ctrlPr>
                  <w:rPr>
                    <w:rFonts w:ascii="Cambria Math" w:hAnsi="Cambria Math"/>
                    <w:b/>
                    <w:bCs/>
                    <w:i/>
                    <w:color w:val="000000" w:themeColor="text1"/>
                    <w:sz w:val="24"/>
                    <w:szCs w:val="24"/>
                  </w:rPr>
                </m:ctrlPr>
              </m:sSupPr>
              <m:e>
                <m:sSub>
                  <m:sSubPr>
                    <m:ctrlPr>
                      <w:rPr>
                        <w:rFonts w:ascii="Cambria Math" w:hAnsi="Cambria Math"/>
                        <w:b/>
                        <w:bCs/>
                        <w:i/>
                        <w:color w:val="000000" w:themeColor="text1"/>
                        <w:sz w:val="24"/>
                        <w:szCs w:val="24"/>
                      </w:rPr>
                    </m:ctrlPr>
                  </m:sSubPr>
                  <m:e>
                    <m:r>
                      <m:rPr>
                        <m:sty m:val="bi"/>
                      </m:rPr>
                      <w:rPr>
                        <w:rFonts w:ascii="Cambria Math" w:hAnsi="Cambria Math"/>
                        <w:color w:val="000000" w:themeColor="text1"/>
                      </w:rPr>
                      <m:t>(y</m:t>
                    </m:r>
                  </m:e>
                  <m:sub>
                    <m:r>
                      <m:rPr>
                        <m:sty m:val="bi"/>
                      </m:rPr>
                      <w:rPr>
                        <w:rFonts w:ascii="Cambria Math" w:hAnsi="Cambria Math"/>
                        <w:color w:val="000000" w:themeColor="text1"/>
                      </w:rPr>
                      <m:t>i</m:t>
                    </m:r>
                  </m:sub>
                </m:sSub>
                <m:r>
                  <m:rPr>
                    <m:sty m:val="bi"/>
                  </m:rPr>
                  <w:rPr>
                    <w:rFonts w:ascii="Cambria Math" w:hAnsi="Cambria Math"/>
                    <w:color w:val="000000" w:themeColor="text1"/>
                  </w:rPr>
                  <m:t>-</m:t>
                </m:r>
                <m:nary>
                  <m:naryPr>
                    <m:chr m:val="∑"/>
                    <m:limLoc m:val="undOvr"/>
                    <m:ctrlPr>
                      <w:rPr>
                        <w:rFonts w:ascii="Cambria Math" w:hAnsi="Cambria Math"/>
                        <w:b/>
                        <w:bCs/>
                        <w:i/>
                        <w:color w:val="000000" w:themeColor="text1"/>
                      </w:rPr>
                    </m:ctrlPr>
                  </m:naryPr>
                  <m:sub>
                    <m:r>
                      <m:rPr>
                        <m:sty m:val="bi"/>
                      </m:rPr>
                      <w:rPr>
                        <w:rFonts w:ascii="Cambria Math" w:hAnsi="Cambria Math"/>
                        <w:color w:val="000000" w:themeColor="text1"/>
                      </w:rPr>
                      <m:t>j=1</m:t>
                    </m:r>
                  </m:sub>
                  <m:sup>
                    <m:r>
                      <m:rPr>
                        <m:sty m:val="bi"/>
                      </m:rPr>
                      <w:rPr>
                        <w:rFonts w:ascii="Cambria Math" w:hAnsi="Cambria Math"/>
                        <w:color w:val="000000" w:themeColor="text1"/>
                      </w:rPr>
                      <m:t>p</m:t>
                    </m:r>
                  </m:sup>
                  <m:e>
                    <m:sSub>
                      <m:sSubPr>
                        <m:ctrlPr>
                          <w:rPr>
                            <w:rFonts w:ascii="Cambria Math" w:hAnsi="Cambria Math"/>
                            <w:b/>
                            <w:bCs/>
                            <w:i/>
                            <w:color w:val="000000" w:themeColor="text1"/>
                          </w:rPr>
                        </m:ctrlPr>
                      </m:sSubPr>
                      <m:e>
                        <m:r>
                          <m:rPr>
                            <m:sty m:val="bi"/>
                          </m:rPr>
                          <w:rPr>
                            <w:rFonts w:ascii="Cambria Math" w:hAnsi="Cambria Math"/>
                            <w:color w:val="000000" w:themeColor="text1"/>
                          </w:rPr>
                          <m:t>β</m:t>
                        </m:r>
                      </m:e>
                      <m:sub>
                        <m:r>
                          <m:rPr>
                            <m:sty m:val="bi"/>
                          </m:rPr>
                          <w:rPr>
                            <w:rFonts w:ascii="Cambria Math" w:hAnsi="Cambria Math"/>
                            <w:color w:val="000000" w:themeColor="text1"/>
                          </w:rPr>
                          <m:t>j</m:t>
                        </m:r>
                      </m:sub>
                    </m:sSub>
                    <m:sSub>
                      <m:sSubPr>
                        <m:ctrlPr>
                          <w:rPr>
                            <w:rFonts w:ascii="Cambria Math" w:hAnsi="Cambria Math"/>
                            <w:b/>
                            <w:bCs/>
                            <w:i/>
                            <w:color w:val="000000" w:themeColor="text1"/>
                          </w:rPr>
                        </m:ctrlPr>
                      </m:sSubPr>
                      <m:e>
                        <m:r>
                          <m:rPr>
                            <m:sty m:val="bi"/>
                          </m:rPr>
                          <w:rPr>
                            <w:rFonts w:ascii="Cambria Math" w:hAnsi="Cambria Math"/>
                            <w:color w:val="000000" w:themeColor="text1"/>
                          </w:rPr>
                          <m:t>X</m:t>
                        </m:r>
                      </m:e>
                      <m:sub>
                        <m:r>
                          <m:rPr>
                            <m:sty m:val="bi"/>
                          </m:rPr>
                          <w:rPr>
                            <w:rFonts w:ascii="Cambria Math" w:hAnsi="Cambria Math"/>
                            <w:color w:val="000000" w:themeColor="text1"/>
                          </w:rPr>
                          <m:t>ij</m:t>
                        </m:r>
                      </m:sub>
                    </m:sSub>
                  </m:e>
                </m:nary>
                <m:r>
                  <m:rPr>
                    <m:sty m:val="bi"/>
                  </m:rPr>
                  <w:rPr>
                    <w:rFonts w:ascii="Cambria Math" w:hAnsi="Cambria Math"/>
                    <w:color w:val="000000" w:themeColor="text1"/>
                  </w:rPr>
                  <m:t>)</m:t>
                </m:r>
              </m:e>
              <m:sup>
                <m:r>
                  <m:rPr>
                    <m:sty m:val="bi"/>
                  </m:rPr>
                  <w:rPr>
                    <w:rFonts w:ascii="Cambria Math" w:hAnsi="Cambria Math"/>
                    <w:color w:val="000000" w:themeColor="text1"/>
                    <w:sz w:val="24"/>
                    <w:szCs w:val="24"/>
                  </w:rPr>
                  <m:t>2</m:t>
                </m:r>
              </m:sup>
            </m:sSup>
            <m:r>
              <m:rPr>
                <m:sty m:val="bi"/>
              </m:rPr>
              <w:rPr>
                <w:rFonts w:ascii="Cambria Math" w:hAnsi="Cambria Math"/>
                <w:color w:val="000000" w:themeColor="text1"/>
                <w:sz w:val="24"/>
                <w:szCs w:val="24"/>
              </w:rPr>
              <m:t>+α</m:t>
            </m:r>
            <m:nary>
              <m:naryPr>
                <m:chr m:val="∑"/>
                <m:limLoc m:val="undOvr"/>
                <m:ctrlPr>
                  <w:rPr>
                    <w:rFonts w:ascii="Cambria Math" w:hAnsi="Cambria Math"/>
                    <w:b/>
                    <w:bCs/>
                    <w:i/>
                    <w:color w:val="000000" w:themeColor="text1"/>
                    <w:sz w:val="24"/>
                    <w:szCs w:val="24"/>
                  </w:rPr>
                </m:ctrlPr>
              </m:naryPr>
              <m:sub>
                <m:r>
                  <m:rPr>
                    <m:sty m:val="bi"/>
                  </m:rPr>
                  <w:rPr>
                    <w:rFonts w:ascii="Cambria Math" w:hAnsi="Cambria Math"/>
                    <w:color w:val="000000" w:themeColor="text1"/>
                    <w:sz w:val="24"/>
                    <w:szCs w:val="24"/>
                  </w:rPr>
                  <m:t>j=1</m:t>
                </m:r>
              </m:sub>
              <m:sup>
                <m:r>
                  <m:rPr>
                    <m:sty m:val="bi"/>
                  </m:rPr>
                  <w:rPr>
                    <w:rFonts w:ascii="Cambria Math" w:hAnsi="Cambria Math"/>
                    <w:color w:val="000000" w:themeColor="text1"/>
                    <w:sz w:val="24"/>
                    <w:szCs w:val="24"/>
                  </w:rPr>
                  <m:t>p</m:t>
                </m:r>
              </m:sup>
              <m:e>
                <m:d>
                  <m:dPr>
                    <m:begChr m:val="|"/>
                    <m:endChr m:val="|"/>
                    <m:ctrlPr>
                      <w:rPr>
                        <w:rFonts w:ascii="Cambria Math" w:hAnsi="Cambria Math"/>
                        <w:b/>
                        <w:bCs/>
                        <w:i/>
                        <w:color w:val="000000" w:themeColor="text1"/>
                        <w:sz w:val="24"/>
                        <w:szCs w:val="24"/>
                      </w:rPr>
                    </m:ctrlPr>
                  </m:dPr>
                  <m:e>
                    <m:sSub>
                      <m:sSubPr>
                        <m:ctrlPr>
                          <w:rPr>
                            <w:rFonts w:ascii="Cambria Math" w:hAnsi="Cambria Math"/>
                            <w:b/>
                            <w:bCs/>
                            <w:i/>
                            <w:color w:val="000000" w:themeColor="text1"/>
                            <w:sz w:val="24"/>
                            <w:szCs w:val="24"/>
                          </w:rPr>
                        </m:ctrlPr>
                      </m:sSubPr>
                      <m:e>
                        <m:r>
                          <m:rPr>
                            <m:sty m:val="bi"/>
                          </m:rPr>
                          <w:rPr>
                            <w:rFonts w:ascii="Cambria Math" w:hAnsi="Cambria Math"/>
                            <w:color w:val="000000" w:themeColor="text1"/>
                            <w:sz w:val="24"/>
                            <w:szCs w:val="24"/>
                          </w:rPr>
                          <m:t>β</m:t>
                        </m:r>
                      </m:e>
                      <m:sub>
                        <m:r>
                          <m:rPr>
                            <m:sty m:val="bi"/>
                          </m:rPr>
                          <w:rPr>
                            <w:rFonts w:ascii="Cambria Math" w:hAnsi="Cambria Math"/>
                            <w:color w:val="000000" w:themeColor="text1"/>
                            <w:sz w:val="24"/>
                            <w:szCs w:val="24"/>
                          </w:rPr>
                          <m:t>j</m:t>
                        </m:r>
                      </m:sub>
                    </m:sSub>
                  </m:e>
                </m:d>
              </m:e>
            </m:nary>
          </m:e>
        </m:nary>
        <m:r>
          <w:rPr>
            <w:rFonts w:ascii="Cambria Math" w:hAnsi="Cambria Math"/>
          </w:rPr>
          <m:t xml:space="preserve"> </m:t>
        </m:r>
      </m:oMath>
    </w:p>
    <w:p w14:paraId="75C21F94" w14:textId="77777777" w:rsidR="00314E67" w:rsidRDefault="00314E67">
      <w:pPr>
        <w:pStyle w:val="ListParagraph"/>
        <w:ind w:left="1152"/>
      </w:pPr>
    </w:p>
    <w:p w14:paraId="33426488" w14:textId="77777777" w:rsidR="00314E67" w:rsidRDefault="00000000">
      <w:pPr>
        <w:jc w:val="both"/>
        <w:rPr>
          <w:sz w:val="24"/>
          <w:szCs w:val="24"/>
        </w:rPr>
      </w:pPr>
      <w:r>
        <w:rPr>
          <w:sz w:val="24"/>
          <w:szCs w:val="24"/>
        </w:rPr>
        <w:t xml:space="preserve">           By setting alpha = 0.01 the model encourages sparsity, which can effectively perform feature selection by shrinking less impactful coefficients all the way to zero.</w:t>
      </w:r>
    </w:p>
    <w:p w14:paraId="15178150" w14:textId="77777777" w:rsidR="00314E67" w:rsidRDefault="00314E67">
      <w:pPr>
        <w:pStyle w:val="ListParagraph"/>
        <w:ind w:left="1152"/>
      </w:pPr>
    </w:p>
    <w:p w14:paraId="41C88D9D" w14:textId="77777777" w:rsidR="00314E67" w:rsidRDefault="00314E67"/>
    <w:p w14:paraId="45ED98AD" w14:textId="77777777" w:rsidR="00314E67" w:rsidRDefault="00000000">
      <w:pPr>
        <w:pStyle w:val="NormalWeb"/>
        <w:ind w:firstLine="720"/>
        <w:rPr>
          <w:rFonts w:ascii="Arial" w:hAnsi="Arial" w:cs="Arial"/>
          <w:b/>
          <w:bCs/>
          <w:color w:val="365F91" w:themeColor="accent1" w:themeShade="BF"/>
        </w:rPr>
      </w:pPr>
      <w:r>
        <w:rPr>
          <w:rFonts w:ascii="Arial" w:hAnsi="Arial" w:cs="Arial"/>
          <w:b/>
          <w:bCs/>
          <w:color w:val="365F91" w:themeColor="accent1" w:themeShade="BF"/>
        </w:rPr>
        <w:t xml:space="preserve">4.6  . Model Training Optimization </w:t>
      </w:r>
    </w:p>
    <w:p w14:paraId="4706FA1E" w14:textId="77777777" w:rsidR="00314E67" w:rsidRDefault="00000000">
      <w:pPr>
        <w:pStyle w:val="ListParagraph"/>
        <w:numPr>
          <w:ilvl w:val="0"/>
          <w:numId w:val="2"/>
        </w:numPr>
        <w:jc w:val="both"/>
        <w:rPr>
          <w:sz w:val="24"/>
          <w:szCs w:val="24"/>
        </w:rPr>
      </w:pPr>
      <w:r>
        <w:rPr>
          <w:b/>
          <w:bCs/>
        </w:rPr>
        <w:t>Optimization strategy of Linear regression</w:t>
      </w:r>
      <w:r>
        <w:t xml:space="preserve"> :</w:t>
      </w:r>
      <w:r>
        <w:rPr>
          <w:sz w:val="24"/>
          <w:szCs w:val="24"/>
        </w:rPr>
        <w:t xml:space="preserve"> Objective is to minimize the RRS. Given formula : </w:t>
      </w:r>
      <m:oMath>
        <m:acc>
          <m:accPr>
            <m:ctrlPr>
              <w:rPr>
                <w:rFonts w:ascii="Cambria Math" w:hAnsi="Cambria Math"/>
                <w:i/>
                <w:sz w:val="24"/>
                <w:szCs w:val="24"/>
              </w:rPr>
            </m:ctrlPr>
          </m:accPr>
          <m:e>
            <m:r>
              <w:rPr>
                <w:rFonts w:ascii="Cambria Math" w:hAnsi="Cambria Math"/>
                <w:sz w:val="24"/>
                <w:szCs w:val="24"/>
              </w:rPr>
              <m:t>β</m:t>
            </m:r>
          </m:e>
        </m:ac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m:t>
            </m:r>
          </m:e>
          <m:sup>
            <m:r>
              <w:rPr>
                <w:rFonts w:ascii="Cambria Math" w:hAnsi="Cambria Math"/>
                <w:sz w:val="24"/>
                <w:szCs w:val="24"/>
              </w:rPr>
              <m:t>-1</m:t>
            </m:r>
          </m:sup>
        </m:sSup>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oMath>
      <w:r>
        <w:rPr>
          <w:sz w:val="24"/>
          <w:szCs w:val="24"/>
        </w:rPr>
        <w:t xml:space="preserve"> (Ordinary Least Square ) .</w:t>
      </w:r>
    </w:p>
    <w:p w14:paraId="71B61F7F" w14:textId="77777777" w:rsidR="00314E67" w:rsidRDefault="00314E67">
      <w:pPr>
        <w:pStyle w:val="ListParagraph"/>
        <w:ind w:left="1884"/>
        <w:jc w:val="both"/>
        <w:rPr>
          <w:sz w:val="24"/>
          <w:szCs w:val="24"/>
        </w:rPr>
      </w:pPr>
    </w:p>
    <w:p w14:paraId="72E339BA" w14:textId="77777777" w:rsidR="00314E67" w:rsidRDefault="00000000">
      <w:pPr>
        <w:pStyle w:val="ListParagraph"/>
        <w:numPr>
          <w:ilvl w:val="0"/>
          <w:numId w:val="2"/>
        </w:numPr>
        <w:jc w:val="both"/>
        <w:rPr>
          <w:sz w:val="24"/>
          <w:szCs w:val="24"/>
        </w:rPr>
      </w:pPr>
      <w:r>
        <w:rPr>
          <w:b/>
          <w:bCs/>
        </w:rPr>
        <w:t>Optimization strategy of Ridge  regression</w:t>
      </w:r>
      <w:r>
        <w:t xml:space="preserve"> : Ridge Regression estimates coefficients by minimizing a penalized least-squares objective. Optimization can be performed using methods such as Gradient Descent, Stochastic Gradient Descent, or direct matrix decomposition techniques. In this study, the Ridge Regression model was implemented using the Scikit-Learn library. The best choice for this model is : </w:t>
      </w:r>
      <m:oMath>
        <m:acc>
          <m:accPr>
            <m:ctrlPr>
              <w:rPr>
                <w:rFonts w:ascii="Cambria Math" w:hAnsi="Cambria Math"/>
                <w:i/>
                <w:sz w:val="24"/>
                <w:szCs w:val="24"/>
              </w:rPr>
            </m:ctrlPr>
          </m:accPr>
          <m:e>
            <m:r>
              <w:rPr>
                <w:rFonts w:ascii="Cambria Math" w:hAnsi="Cambria Math"/>
                <w:sz w:val="24"/>
                <w:szCs w:val="24"/>
              </w:rPr>
              <m:t>β</m:t>
            </m:r>
          </m:e>
        </m:ac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X+ λI)</m:t>
            </m:r>
          </m:e>
          <m:sup>
            <m:r>
              <w:rPr>
                <w:rFonts w:ascii="Cambria Math" w:hAnsi="Cambria Math"/>
                <w:sz w:val="24"/>
                <w:szCs w:val="24"/>
              </w:rPr>
              <m:t>-1</m:t>
            </m:r>
          </m:sup>
        </m:sSup>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T</m:t>
            </m:r>
          </m:sup>
        </m:sSup>
        <m:r>
          <w:rPr>
            <w:rFonts w:ascii="Cambria Math" w:hAnsi="Cambria Math"/>
            <w:sz w:val="24"/>
            <w:szCs w:val="24"/>
          </w:rPr>
          <m:t>y</m:t>
        </m:r>
      </m:oMath>
      <w:r>
        <w:rPr>
          <w:sz w:val="24"/>
          <w:szCs w:val="24"/>
        </w:rPr>
        <w:t xml:space="preserve"> (Closed-form-solution).</w:t>
      </w:r>
    </w:p>
    <w:p w14:paraId="122A98AC" w14:textId="77777777" w:rsidR="00314E67" w:rsidRDefault="00314E67">
      <w:pPr>
        <w:pStyle w:val="ListParagraph"/>
        <w:ind w:left="1884"/>
        <w:jc w:val="both"/>
        <w:rPr>
          <w:sz w:val="24"/>
          <w:szCs w:val="24"/>
        </w:rPr>
      </w:pPr>
    </w:p>
    <w:p w14:paraId="072FBAF5" w14:textId="77777777" w:rsidR="00314E67" w:rsidRDefault="00000000">
      <w:pPr>
        <w:pStyle w:val="ListParagraph"/>
        <w:numPr>
          <w:ilvl w:val="0"/>
          <w:numId w:val="2"/>
        </w:numPr>
        <w:jc w:val="both"/>
        <w:rPr>
          <w:sz w:val="24"/>
          <w:szCs w:val="24"/>
        </w:rPr>
      </w:pPr>
      <w:r>
        <w:rPr>
          <w:b/>
          <w:bCs/>
        </w:rPr>
        <w:t xml:space="preserve">Optimization strategy of Lassoregression : </w:t>
      </w:r>
      <w:r>
        <w:t>Lasso uses Coordinate Descent to estimate the coefficients and can set some coefficients exactly to zero, thereby selecting the most relevant predictors.</w:t>
      </w:r>
    </w:p>
    <w:p w14:paraId="4D23EC85" w14:textId="77777777" w:rsidR="00314E67" w:rsidRDefault="00314E67">
      <w:pPr>
        <w:pStyle w:val="ListParagraph"/>
        <w:ind w:left="2004"/>
      </w:pPr>
    </w:p>
    <w:p w14:paraId="763587E6" w14:textId="77777777" w:rsidR="00092D57" w:rsidRDefault="00092D57" w:rsidP="00092D57">
      <w:pPr>
        <w:pStyle w:val="Heading2"/>
      </w:pPr>
      <w:bookmarkStart w:id="20" w:name="sec-5-modeval"/>
      <w:r>
        <w:t xml:space="preserve">    </w:t>
      </w:r>
      <w:bookmarkEnd w:id="20"/>
      <w:r>
        <w:t xml:space="preserve">5. Model Evaluation </w:t>
      </w:r>
    </w:p>
    <w:p w14:paraId="7EAB7DBC" w14:textId="77777777" w:rsidR="00314E67" w:rsidRDefault="00000000">
      <w:r>
        <w:t xml:space="preserve"> </w:t>
      </w:r>
    </w:p>
    <w:p w14:paraId="140386D1" w14:textId="77777777" w:rsidR="00314E67" w:rsidRDefault="00314E67"/>
    <w:p w14:paraId="6657BA98" w14:textId="77777777" w:rsidR="00314E67" w:rsidRDefault="00314E67"/>
    <w:p w14:paraId="4E9E3BAD" w14:textId="77777777" w:rsidR="00314E67" w:rsidRDefault="00314E67"/>
    <w:p w14:paraId="27642940" w14:textId="77777777" w:rsidR="00314E67" w:rsidRDefault="00314E67"/>
    <w:p w14:paraId="488F4814" w14:textId="77777777" w:rsidR="00314E67" w:rsidRDefault="00314E67"/>
    <w:p w14:paraId="3BCCFA36" w14:textId="77777777" w:rsidR="00314E67" w:rsidRDefault="00314E67"/>
    <w:tbl>
      <w:tblPr>
        <w:tblW w:w="878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1442"/>
        <w:gridCol w:w="1462"/>
        <w:gridCol w:w="1821"/>
        <w:gridCol w:w="1559"/>
      </w:tblGrid>
      <w:tr w:rsidR="00314E67" w14:paraId="6F5005AB" w14:textId="77777777">
        <w:tc>
          <w:tcPr>
            <w:tcW w:w="2504" w:type="dxa"/>
            <w:tcBorders>
              <w:top w:val="single" w:sz="2" w:space="0" w:color="AACDE8"/>
              <w:left w:val="single" w:sz="2" w:space="0" w:color="AACDE8"/>
              <w:bottom w:val="single" w:sz="2" w:space="0" w:color="AACDE8"/>
              <w:right w:val="single" w:sz="2" w:space="0" w:color="AACDE8"/>
            </w:tcBorders>
            <w:shd w:val="clear" w:color="auto" w:fill="1F3864"/>
            <w:tcMar>
              <w:top w:w="80" w:type="dxa"/>
              <w:left w:w="110" w:type="dxa"/>
              <w:bottom w:w="80" w:type="dxa"/>
              <w:right w:w="110" w:type="dxa"/>
            </w:tcMar>
          </w:tcPr>
          <w:p w14:paraId="41A7C661" w14:textId="77777777" w:rsidR="00314E67" w:rsidRDefault="00000000">
            <w:pPr>
              <w:rPr>
                <w:b/>
                <w:bCs/>
              </w:rPr>
            </w:pPr>
            <w:r>
              <w:rPr>
                <w:b/>
                <w:bCs/>
                <w:color w:val="FFFFFF"/>
                <w:sz w:val="20"/>
                <w:szCs w:val="20"/>
              </w:rPr>
              <w:t>Model</w:t>
            </w:r>
          </w:p>
        </w:tc>
        <w:tc>
          <w:tcPr>
            <w:tcW w:w="1442"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5C724C21" w14:textId="77777777" w:rsidR="00314E67" w:rsidRDefault="00000000">
            <w:pPr>
              <w:rPr>
                <w:b/>
                <w:bCs/>
              </w:rPr>
            </w:pPr>
            <w:r>
              <w:rPr>
                <w:b/>
                <w:bCs/>
              </w:rPr>
              <w:t>MAE</w:t>
            </w:r>
          </w:p>
        </w:tc>
        <w:tc>
          <w:tcPr>
            <w:tcW w:w="1462"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27DF867A" w14:textId="77777777" w:rsidR="00314E67" w:rsidRDefault="00000000">
            <w:pPr>
              <w:rPr>
                <w:b/>
                <w:bCs/>
              </w:rPr>
            </w:pPr>
            <w:r>
              <w:rPr>
                <w:b/>
                <w:bCs/>
              </w:rPr>
              <w:t>RMSE</w:t>
            </w:r>
          </w:p>
        </w:tc>
        <w:tc>
          <w:tcPr>
            <w:tcW w:w="1821" w:type="dxa"/>
            <w:tcBorders>
              <w:top w:val="single" w:sz="2" w:space="0" w:color="AACDE8"/>
              <w:left w:val="nil"/>
              <w:bottom w:val="single" w:sz="2" w:space="0" w:color="AACDE8"/>
              <w:right w:val="single" w:sz="2" w:space="0" w:color="AACDE8"/>
            </w:tcBorders>
            <w:shd w:val="clear" w:color="auto" w:fill="1F3864"/>
            <w:tcMar>
              <w:top w:w="80" w:type="dxa"/>
              <w:left w:w="110" w:type="dxa"/>
              <w:bottom w:w="80" w:type="dxa"/>
              <w:right w:w="110" w:type="dxa"/>
            </w:tcMar>
          </w:tcPr>
          <w:p w14:paraId="4536ACCB" w14:textId="77777777" w:rsidR="00314E67" w:rsidRDefault="00000000">
            <w:pPr>
              <w:rPr>
                <w:b/>
                <w:bCs/>
              </w:rPr>
            </w:pPr>
            <w:r>
              <w:rPr>
                <w:b/>
                <w:bCs/>
                <w:color w:val="FFFFFF"/>
                <w:sz w:val="20"/>
                <w:szCs w:val="20"/>
              </w:rPr>
              <w:t>Accuracy Train</w:t>
            </w:r>
          </w:p>
        </w:tc>
        <w:tc>
          <w:tcPr>
            <w:tcW w:w="1559" w:type="dxa"/>
            <w:tcBorders>
              <w:top w:val="single" w:sz="2" w:space="0" w:color="AACDE8"/>
              <w:left w:val="nil"/>
              <w:bottom w:val="single" w:sz="2" w:space="0" w:color="AACDE8"/>
              <w:right w:val="single" w:sz="2" w:space="0" w:color="AACDE8"/>
            </w:tcBorders>
            <w:shd w:val="clear" w:color="auto" w:fill="1F3864"/>
          </w:tcPr>
          <w:p w14:paraId="5D8FC39B" w14:textId="77777777" w:rsidR="00314E67" w:rsidRDefault="00000000">
            <w:pPr>
              <w:rPr>
                <w:b/>
                <w:bCs/>
              </w:rPr>
            </w:pPr>
            <w:r>
              <w:rPr>
                <w:b/>
                <w:bCs/>
                <w:color w:val="FFFFFF"/>
                <w:sz w:val="20"/>
                <w:szCs w:val="20"/>
              </w:rPr>
              <w:t>Accuracy Test</w:t>
            </w:r>
          </w:p>
        </w:tc>
      </w:tr>
      <w:tr w:rsidR="00314E67" w14:paraId="226BE5D7" w14:textId="77777777">
        <w:tc>
          <w:tcPr>
            <w:tcW w:w="2504"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6BF674B1" w14:textId="77777777" w:rsidR="00314E67" w:rsidRDefault="00000000">
            <w:r>
              <w:t xml:space="preserve">Linear Regression </w:t>
            </w:r>
          </w:p>
        </w:tc>
        <w:tc>
          <w:tcPr>
            <w:tcW w:w="144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68E7A901" w14:textId="77777777" w:rsidR="00314E67" w:rsidRDefault="00000000">
            <w:r>
              <w:t>1.955803</w:t>
            </w:r>
          </w:p>
        </w:tc>
        <w:tc>
          <w:tcPr>
            <w:tcW w:w="146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A4B6B33" w14:textId="77777777" w:rsidR="00314E67" w:rsidRDefault="00000000">
            <w:r>
              <w:t>2.667344</w:t>
            </w:r>
          </w:p>
        </w:tc>
        <w:tc>
          <w:tcPr>
            <w:tcW w:w="1821"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5A5C4337" w14:textId="77777777" w:rsidR="00314E67" w:rsidRDefault="00000000">
            <w:r>
              <w:t>0.625558</w:t>
            </w:r>
          </w:p>
        </w:tc>
        <w:tc>
          <w:tcPr>
            <w:tcW w:w="1559" w:type="dxa"/>
            <w:tcBorders>
              <w:top w:val="single" w:sz="2" w:space="0" w:color="AACDE8"/>
              <w:left w:val="nil"/>
              <w:bottom w:val="single" w:sz="2" w:space="0" w:color="AACDE8"/>
              <w:right w:val="single" w:sz="2" w:space="0" w:color="AACDE8"/>
            </w:tcBorders>
            <w:shd w:val="clear" w:color="auto" w:fill="FFFFFF"/>
          </w:tcPr>
          <w:p w14:paraId="208B7DF5" w14:textId="77777777" w:rsidR="00314E67" w:rsidRDefault="00000000">
            <w:r>
              <w:t>0.486836</w:t>
            </w:r>
          </w:p>
        </w:tc>
      </w:tr>
      <w:tr w:rsidR="00314E67" w14:paraId="51F18519" w14:textId="77777777">
        <w:tc>
          <w:tcPr>
            <w:tcW w:w="2504" w:type="dxa"/>
            <w:tcBorders>
              <w:top w:val="single" w:sz="2" w:space="0" w:color="AACDE8"/>
              <w:left w:val="single" w:sz="2" w:space="0" w:color="AACDE8"/>
              <w:bottom w:val="single" w:sz="2" w:space="0" w:color="AACDE8"/>
              <w:right w:val="single" w:sz="2" w:space="0" w:color="AACDE8"/>
            </w:tcBorders>
            <w:shd w:val="clear" w:color="auto" w:fill="F5F5F5"/>
            <w:tcMar>
              <w:top w:w="70" w:type="dxa"/>
              <w:left w:w="110" w:type="dxa"/>
              <w:bottom w:w="70" w:type="dxa"/>
              <w:right w:w="110" w:type="dxa"/>
            </w:tcMar>
          </w:tcPr>
          <w:p w14:paraId="205D27AC" w14:textId="77777777" w:rsidR="00314E67" w:rsidRDefault="00000000">
            <w:r>
              <w:t>Ridge Regression</w:t>
            </w:r>
          </w:p>
        </w:tc>
        <w:tc>
          <w:tcPr>
            <w:tcW w:w="1442"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30C7BEA9" w14:textId="77777777" w:rsidR="00314E67" w:rsidRDefault="00000000">
            <w:r>
              <w:t>1.944732</w:t>
            </w:r>
          </w:p>
        </w:tc>
        <w:tc>
          <w:tcPr>
            <w:tcW w:w="1462"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79EA36AD" w14:textId="77777777" w:rsidR="00314E67" w:rsidRDefault="00000000">
            <w:r>
              <w:t>2.656107</w:t>
            </w:r>
          </w:p>
        </w:tc>
        <w:tc>
          <w:tcPr>
            <w:tcW w:w="1821" w:type="dxa"/>
            <w:tcBorders>
              <w:top w:val="single" w:sz="2" w:space="0" w:color="AACDE8"/>
              <w:left w:val="nil"/>
              <w:bottom w:val="single" w:sz="2" w:space="0" w:color="AACDE8"/>
              <w:right w:val="single" w:sz="2" w:space="0" w:color="AACDE8"/>
            </w:tcBorders>
            <w:shd w:val="clear" w:color="auto" w:fill="F5F5F5"/>
            <w:tcMar>
              <w:top w:w="70" w:type="dxa"/>
              <w:left w:w="110" w:type="dxa"/>
              <w:bottom w:w="70" w:type="dxa"/>
              <w:right w:w="110" w:type="dxa"/>
            </w:tcMar>
          </w:tcPr>
          <w:p w14:paraId="29409085" w14:textId="77777777" w:rsidR="00314E67" w:rsidRDefault="00000000">
            <w:r>
              <w:t>0.624945</w:t>
            </w:r>
          </w:p>
        </w:tc>
        <w:tc>
          <w:tcPr>
            <w:tcW w:w="1559" w:type="dxa"/>
            <w:tcBorders>
              <w:top w:val="single" w:sz="2" w:space="0" w:color="AACDE8"/>
              <w:left w:val="nil"/>
              <w:bottom w:val="single" w:sz="2" w:space="0" w:color="AACDE8"/>
              <w:right w:val="single" w:sz="2" w:space="0" w:color="AACDE8"/>
            </w:tcBorders>
            <w:shd w:val="clear" w:color="auto" w:fill="F5F5F5"/>
          </w:tcPr>
          <w:p w14:paraId="2CF519F5" w14:textId="77777777" w:rsidR="00314E67" w:rsidRDefault="00000000">
            <w:r>
              <w:t>0.491151</w:t>
            </w:r>
          </w:p>
        </w:tc>
      </w:tr>
      <w:tr w:rsidR="00314E67" w14:paraId="31F7B6D8" w14:textId="77777777">
        <w:tc>
          <w:tcPr>
            <w:tcW w:w="2504"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398BF9A8" w14:textId="77777777" w:rsidR="00314E67" w:rsidRDefault="00000000">
            <w:r>
              <w:t>Lasso Regression</w:t>
            </w:r>
          </w:p>
        </w:tc>
        <w:tc>
          <w:tcPr>
            <w:tcW w:w="144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49F5793F" w14:textId="77777777" w:rsidR="00314E67" w:rsidRDefault="00000000">
            <w:r>
              <w:t>1.925912</w:t>
            </w:r>
          </w:p>
        </w:tc>
        <w:tc>
          <w:tcPr>
            <w:tcW w:w="146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69395035" w14:textId="77777777" w:rsidR="00314E67" w:rsidRDefault="00000000">
            <w:r>
              <w:t>2.639651</w:t>
            </w:r>
          </w:p>
        </w:tc>
        <w:tc>
          <w:tcPr>
            <w:tcW w:w="1821"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56C6F7CA" w14:textId="77777777" w:rsidR="00314E67" w:rsidRDefault="00000000">
            <w:r>
              <w:t>0.616074</w:t>
            </w:r>
          </w:p>
        </w:tc>
        <w:tc>
          <w:tcPr>
            <w:tcW w:w="1559" w:type="dxa"/>
            <w:tcBorders>
              <w:top w:val="single" w:sz="2" w:space="0" w:color="AACDE8"/>
              <w:left w:val="nil"/>
              <w:bottom w:val="single" w:sz="2" w:space="0" w:color="AACDE8"/>
              <w:right w:val="single" w:sz="2" w:space="0" w:color="AACDE8"/>
            </w:tcBorders>
            <w:shd w:val="clear" w:color="auto" w:fill="FFFFFF"/>
          </w:tcPr>
          <w:p w14:paraId="2A1CE7DC" w14:textId="77777777" w:rsidR="00314E67" w:rsidRDefault="00000000">
            <w:r>
              <w:t>0.497437</w:t>
            </w:r>
          </w:p>
        </w:tc>
      </w:tr>
      <w:tr w:rsidR="00314E67" w14:paraId="504A9B16" w14:textId="77777777">
        <w:tc>
          <w:tcPr>
            <w:tcW w:w="2504" w:type="dxa"/>
            <w:tcBorders>
              <w:top w:val="single" w:sz="2" w:space="0" w:color="AACDE8"/>
              <w:left w:val="single" w:sz="2" w:space="0" w:color="AACDE8"/>
              <w:bottom w:val="single" w:sz="2" w:space="0" w:color="AACDE8"/>
              <w:right w:val="single" w:sz="2" w:space="0" w:color="AACDE8"/>
            </w:tcBorders>
            <w:shd w:val="clear" w:color="auto" w:fill="FFFFFF"/>
            <w:tcMar>
              <w:top w:w="70" w:type="dxa"/>
              <w:left w:w="110" w:type="dxa"/>
              <w:bottom w:w="70" w:type="dxa"/>
              <w:right w:w="110" w:type="dxa"/>
            </w:tcMar>
          </w:tcPr>
          <w:p w14:paraId="072E40BB" w14:textId="77777777" w:rsidR="00314E67" w:rsidRDefault="00314E67"/>
        </w:tc>
        <w:tc>
          <w:tcPr>
            <w:tcW w:w="144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14760B9F" w14:textId="77777777" w:rsidR="00314E67" w:rsidRDefault="00314E67"/>
        </w:tc>
        <w:tc>
          <w:tcPr>
            <w:tcW w:w="1462"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0FA88365" w14:textId="77777777" w:rsidR="00314E67" w:rsidRDefault="00314E67"/>
        </w:tc>
        <w:tc>
          <w:tcPr>
            <w:tcW w:w="1821" w:type="dxa"/>
            <w:tcBorders>
              <w:top w:val="single" w:sz="2" w:space="0" w:color="AACDE8"/>
              <w:left w:val="nil"/>
              <w:bottom w:val="single" w:sz="2" w:space="0" w:color="AACDE8"/>
              <w:right w:val="single" w:sz="2" w:space="0" w:color="AACDE8"/>
            </w:tcBorders>
            <w:shd w:val="clear" w:color="auto" w:fill="FFFFFF"/>
            <w:tcMar>
              <w:top w:w="70" w:type="dxa"/>
              <w:left w:w="110" w:type="dxa"/>
              <w:bottom w:w="70" w:type="dxa"/>
              <w:right w:w="110" w:type="dxa"/>
            </w:tcMar>
          </w:tcPr>
          <w:p w14:paraId="4EC568BF" w14:textId="77777777" w:rsidR="00314E67" w:rsidRDefault="00314E67"/>
        </w:tc>
        <w:tc>
          <w:tcPr>
            <w:tcW w:w="1559" w:type="dxa"/>
            <w:tcBorders>
              <w:top w:val="single" w:sz="2" w:space="0" w:color="AACDE8"/>
              <w:left w:val="nil"/>
              <w:bottom w:val="single" w:sz="2" w:space="0" w:color="AACDE8"/>
              <w:right w:val="single" w:sz="2" w:space="0" w:color="AACDE8"/>
            </w:tcBorders>
            <w:shd w:val="clear" w:color="auto" w:fill="FFFFFF"/>
          </w:tcPr>
          <w:p w14:paraId="065043ED" w14:textId="77777777" w:rsidR="00314E67" w:rsidRDefault="00314E67"/>
        </w:tc>
      </w:tr>
    </w:tbl>
    <w:p w14:paraId="592C797A" w14:textId="77777777" w:rsidR="00314E67" w:rsidRDefault="00314E67"/>
    <w:p w14:paraId="426AAAD4" w14:textId="77777777" w:rsidR="00A96919" w:rsidRDefault="00A96919">
      <w:pPr>
        <w:pStyle w:val="Heading2"/>
      </w:pPr>
      <w:bookmarkStart w:id="21" w:name="sec-6-discussion"/>
    </w:p>
    <w:p w14:paraId="1A3D1909" w14:textId="0B5120F9" w:rsidR="00314E67" w:rsidRDefault="00000000">
      <w:pPr>
        <w:pStyle w:val="Heading2"/>
      </w:pPr>
      <w:r>
        <w:lastRenderedPageBreak/>
        <w:t xml:space="preserve">    6. Discussion</w:t>
      </w:r>
      <w:bookmarkEnd w:id="21"/>
      <w:r>
        <w:rPr>
          <w:lang w:val="en-US"/>
        </w:rPr>
        <w:t xml:space="preserve"> and Result</w:t>
      </w:r>
      <w:r>
        <w:t xml:space="preserve"> </w:t>
      </w:r>
    </w:p>
    <w:p w14:paraId="34F62E56" w14:textId="77777777" w:rsidR="00314E67" w:rsidRDefault="00314E67">
      <w:pPr>
        <w:pStyle w:val="Title"/>
        <w:jc w:val="center"/>
        <w:rPr>
          <w:rFonts w:ascii="Arial" w:hAnsi="Arial" w:cs="Arial"/>
          <w:sz w:val="22"/>
          <w:szCs w:val="22"/>
        </w:rPr>
      </w:pPr>
    </w:p>
    <w:p w14:paraId="635C5854" w14:textId="77777777" w:rsidR="00314E67" w:rsidRDefault="00314E67"/>
    <w:p w14:paraId="68B58C78" w14:textId="77777777" w:rsidR="00314E67" w:rsidRDefault="00000000">
      <w:pPr>
        <w:pStyle w:val="Heading1"/>
        <w:rPr>
          <w:sz w:val="22"/>
          <w:szCs w:val="22"/>
        </w:rPr>
      </w:pPr>
      <w:r>
        <w:rPr>
          <w:sz w:val="22"/>
          <w:szCs w:val="22"/>
        </w:rPr>
        <w:t>RO1: To analyze historical GDP growth trends in Cambodia from 1990 to 2025</w:t>
      </w:r>
    </w:p>
    <w:p w14:paraId="17DABE66" w14:textId="77777777" w:rsidR="00314E67" w:rsidRDefault="00000000">
      <w:pPr>
        <w:pStyle w:val="Heading2"/>
        <w:rPr>
          <w:sz w:val="22"/>
          <w:szCs w:val="22"/>
        </w:rPr>
      </w:pPr>
      <w:r>
        <w:rPr>
          <w:sz w:val="22"/>
          <w:szCs w:val="22"/>
        </w:rPr>
        <w:t>RQ1: How has Cambodia's GDP growth changed over time?</w:t>
      </w:r>
    </w:p>
    <w:p w14:paraId="3DC70AA0" w14:textId="77777777" w:rsidR="00314E67" w:rsidRDefault="00000000">
      <w:r>
        <w:rPr>
          <w:b/>
        </w:rPr>
        <w:t>Result:</w:t>
      </w:r>
    </w:p>
    <w:p w14:paraId="17EF5F1D" w14:textId="77777777" w:rsidR="00314E67" w:rsidRDefault="00000000">
      <w:r>
        <w:t>Cambodia's GDP growth from 1990 to 2024 can be divided into four distinct phases:</w:t>
      </w:r>
    </w:p>
    <w:p w14:paraId="55209DD9" w14:textId="77777777" w:rsidR="00314E67" w:rsidRDefault="00314E67"/>
    <w:tbl>
      <w:tblPr>
        <w:tblStyle w:val="LightGrid-Accent1"/>
        <w:tblW w:w="0" w:type="auto"/>
        <w:jc w:val="center"/>
        <w:tblLook w:val="04A0" w:firstRow="1" w:lastRow="0" w:firstColumn="1" w:lastColumn="0" w:noHBand="0" w:noVBand="1"/>
      </w:tblPr>
      <w:tblGrid>
        <w:gridCol w:w="2819"/>
        <w:gridCol w:w="2821"/>
        <w:gridCol w:w="2843"/>
      </w:tblGrid>
      <w:tr w:rsidR="00314E67" w14:paraId="03B9D836"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545E27" w14:textId="77777777" w:rsidR="00314E67" w:rsidRDefault="00000000">
            <w:r>
              <w:t>Period</w:t>
            </w:r>
          </w:p>
        </w:tc>
        <w:tc>
          <w:tcPr>
            <w:tcW w:w="2880" w:type="dxa"/>
          </w:tcPr>
          <w:p w14:paraId="42ACF395" w14:textId="77777777" w:rsidR="00314E67" w:rsidRDefault="00000000">
            <w:pPr>
              <w:cnfStyle w:val="100000000000" w:firstRow="1" w:lastRow="0" w:firstColumn="0" w:lastColumn="0" w:oddVBand="0" w:evenVBand="0" w:oddHBand="0" w:evenHBand="0" w:firstRowFirstColumn="0" w:firstRowLastColumn="0" w:lastRowFirstColumn="0" w:lastRowLastColumn="0"/>
            </w:pPr>
            <w:r>
              <w:t>Avg Growth</w:t>
            </w:r>
          </w:p>
        </w:tc>
        <w:tc>
          <w:tcPr>
            <w:tcW w:w="2880" w:type="dxa"/>
          </w:tcPr>
          <w:p w14:paraId="000966D0" w14:textId="77777777" w:rsidR="00314E67" w:rsidRDefault="00000000">
            <w:pPr>
              <w:cnfStyle w:val="100000000000" w:firstRow="1" w:lastRow="0" w:firstColumn="0" w:lastColumn="0" w:oddVBand="0" w:evenVBand="0" w:oddHBand="0" w:evenHBand="0" w:firstRowFirstColumn="0" w:firstRowLastColumn="0" w:lastRowFirstColumn="0" w:lastRowLastColumn="0"/>
            </w:pPr>
            <w:r>
              <w:t>Characteristic</w:t>
            </w:r>
          </w:p>
        </w:tc>
      </w:tr>
      <w:tr w:rsidR="00314E67" w14:paraId="5EB4DBD6"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BA84E43" w14:textId="77777777" w:rsidR="00314E67" w:rsidRDefault="00000000">
            <w:r>
              <w:t>1990-1993</w:t>
            </w:r>
          </w:p>
        </w:tc>
        <w:tc>
          <w:tcPr>
            <w:tcW w:w="2880" w:type="dxa"/>
          </w:tcPr>
          <w:p w14:paraId="52CF1BC7" w14:textId="77777777" w:rsidR="00314E67" w:rsidRDefault="00000000">
            <w:pPr>
              <w:cnfStyle w:val="000000000000" w:firstRow="0" w:lastRow="0" w:firstColumn="0" w:lastColumn="0" w:oddVBand="0" w:evenVBand="0" w:oddHBand="0" w:evenHBand="0" w:firstRowFirstColumn="0" w:firstRowLastColumn="0" w:lastRowFirstColumn="0" w:lastRowLastColumn="0"/>
            </w:pPr>
            <w:r>
              <w:t>~5.0%</w:t>
            </w:r>
          </w:p>
        </w:tc>
        <w:tc>
          <w:tcPr>
            <w:tcW w:w="2880" w:type="dxa"/>
          </w:tcPr>
          <w:p w14:paraId="6E6974DB" w14:textId="77777777" w:rsidR="00314E67" w:rsidRDefault="00000000">
            <w:pPr>
              <w:cnfStyle w:val="000000000000" w:firstRow="0" w:lastRow="0" w:firstColumn="0" w:lastColumn="0" w:oddVBand="0" w:evenVBand="0" w:oddHBand="0" w:evenHBand="0" w:firstRowFirstColumn="0" w:firstRowLastColumn="0" w:lastRowFirstColumn="0" w:lastRowLastColumn="0"/>
            </w:pPr>
            <w:r>
              <w:t>Post-conflict recovery, volatile starting at 1.2% in 1990</w:t>
            </w:r>
          </w:p>
        </w:tc>
      </w:tr>
      <w:tr w:rsidR="00314E67" w14:paraId="30BBA281"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B627855" w14:textId="77777777" w:rsidR="00314E67" w:rsidRDefault="00000000">
            <w:r>
              <w:t>1994-1998</w:t>
            </w:r>
          </w:p>
        </w:tc>
        <w:tc>
          <w:tcPr>
            <w:tcW w:w="2880" w:type="dxa"/>
          </w:tcPr>
          <w:p w14:paraId="6BAF3BAE" w14:textId="77777777" w:rsidR="00314E67" w:rsidRDefault="00000000">
            <w:pPr>
              <w:cnfStyle w:val="000000000000" w:firstRow="0" w:lastRow="0" w:firstColumn="0" w:lastColumn="0" w:oddVBand="0" w:evenVBand="0" w:oddHBand="0" w:evenHBand="0" w:firstRowFirstColumn="0" w:firstRowLastColumn="0" w:lastRowFirstColumn="0" w:lastRowLastColumn="0"/>
            </w:pPr>
            <w:r>
              <w:t>~6.6%</w:t>
            </w:r>
          </w:p>
        </w:tc>
        <w:tc>
          <w:tcPr>
            <w:tcW w:w="2880" w:type="dxa"/>
          </w:tcPr>
          <w:p w14:paraId="3C916425" w14:textId="77777777" w:rsidR="00314E67" w:rsidRDefault="00000000">
            <w:pPr>
              <w:cnfStyle w:val="000000000000" w:firstRow="0" w:lastRow="0" w:firstColumn="0" w:lastColumn="0" w:oddVBand="0" w:evenVBand="0" w:oddHBand="0" w:evenHBand="0" w:firstRowFirstColumn="0" w:firstRowLastColumn="0" w:lastRowFirstColumn="0" w:lastRowLastColumn="0"/>
            </w:pPr>
            <w:r>
              <w:t>Stabilization growth, dipping to 4% in 1997 (Asian Financial Crisis)</w:t>
            </w:r>
          </w:p>
        </w:tc>
      </w:tr>
      <w:tr w:rsidR="00314E67" w14:paraId="1F22CA4F"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955F825" w14:textId="77777777" w:rsidR="00314E67" w:rsidRDefault="00000000">
            <w:r>
              <w:t>1999-2008</w:t>
            </w:r>
          </w:p>
        </w:tc>
        <w:tc>
          <w:tcPr>
            <w:tcW w:w="2880" w:type="dxa"/>
          </w:tcPr>
          <w:p w14:paraId="621D6FA4" w14:textId="77777777" w:rsidR="00314E67" w:rsidRDefault="00000000">
            <w:pPr>
              <w:cnfStyle w:val="000000000000" w:firstRow="0" w:lastRow="0" w:firstColumn="0" w:lastColumn="0" w:oddVBand="0" w:evenVBand="0" w:oddHBand="0" w:evenHBand="0" w:firstRowFirstColumn="0" w:firstRowLastColumn="0" w:lastRowFirstColumn="0" w:lastRowLastColumn="0"/>
            </w:pPr>
            <w:r>
              <w:t>~10.1%</w:t>
            </w:r>
          </w:p>
        </w:tc>
        <w:tc>
          <w:tcPr>
            <w:tcW w:w="2880" w:type="dxa"/>
          </w:tcPr>
          <w:p w14:paraId="1E50DC5E" w14:textId="77777777" w:rsidR="00314E67" w:rsidRDefault="00000000">
            <w:pPr>
              <w:cnfStyle w:val="000000000000" w:firstRow="0" w:lastRow="0" w:firstColumn="0" w:lastColumn="0" w:oddVBand="0" w:evenVBand="0" w:oddHBand="0" w:evenHBand="0" w:firstRowFirstColumn="0" w:firstRowLastColumn="0" w:lastRowFirstColumn="0" w:lastRowLastColumn="0"/>
            </w:pPr>
            <w:r>
              <w:t>Golden era - double-digit growth (peak 13.3% in 2005)</w:t>
            </w:r>
          </w:p>
        </w:tc>
      </w:tr>
      <w:tr w:rsidR="00314E67" w14:paraId="2C26282B"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B7E91B" w14:textId="77777777" w:rsidR="00314E67" w:rsidRDefault="00000000">
            <w:r>
              <w:t>2009-2024</w:t>
            </w:r>
          </w:p>
        </w:tc>
        <w:tc>
          <w:tcPr>
            <w:tcW w:w="2880" w:type="dxa"/>
          </w:tcPr>
          <w:p w14:paraId="6E767152" w14:textId="77777777" w:rsidR="00314E67" w:rsidRDefault="00000000">
            <w:pPr>
              <w:cnfStyle w:val="000000000000" w:firstRow="0" w:lastRow="0" w:firstColumn="0" w:lastColumn="0" w:oddVBand="0" w:evenVBand="0" w:oddHBand="0" w:evenHBand="0" w:firstRowFirstColumn="0" w:firstRowLastColumn="0" w:lastRowFirstColumn="0" w:lastRowLastColumn="0"/>
            </w:pPr>
            <w:r>
              <w:t>~5.6%</w:t>
            </w:r>
          </w:p>
        </w:tc>
        <w:tc>
          <w:tcPr>
            <w:tcW w:w="2880" w:type="dxa"/>
          </w:tcPr>
          <w:p w14:paraId="50E63FB0" w14:textId="77777777" w:rsidR="00314E67" w:rsidRDefault="00000000">
            <w:pPr>
              <w:cnfStyle w:val="000000000000" w:firstRow="0" w:lastRow="0" w:firstColumn="0" w:lastColumn="0" w:oddVBand="0" w:evenVBand="0" w:oddHBand="0" w:evenHBand="0" w:firstRowFirstColumn="0" w:firstRowLastColumn="0" w:lastRowFirstColumn="0" w:lastRowLastColumn="0"/>
            </w:pPr>
            <w:r>
              <w:t>Crisis-prone: 0.1% (2009), -3.6% (2020), slow post-COVID recovery</w:t>
            </w:r>
          </w:p>
        </w:tc>
      </w:tr>
    </w:tbl>
    <w:p w14:paraId="4EDFBC4F" w14:textId="77777777" w:rsidR="00314E67" w:rsidRDefault="00314E67"/>
    <w:p w14:paraId="7847EF7F" w14:textId="77777777" w:rsidR="00314E67" w:rsidRDefault="00000000">
      <w:pPr>
        <w:rPr>
          <w:b/>
        </w:rPr>
      </w:pPr>
      <w:r>
        <w:rPr>
          <w:b/>
        </w:rPr>
        <w:t>Discussion:</w:t>
      </w:r>
    </w:p>
    <w:p w14:paraId="7ABBE24E" w14:textId="77777777" w:rsidR="00314E67" w:rsidRDefault="00314E67">
      <w:pPr>
        <w:rPr>
          <w:b/>
        </w:rPr>
      </w:pPr>
    </w:p>
    <w:p w14:paraId="14E5BE41" w14:textId="77777777" w:rsidR="00314E67" w:rsidRDefault="00000000">
      <w:pPr>
        <w:jc w:val="both"/>
      </w:pPr>
      <w:r>
        <w:t>Cambodia's GDP growth has been highly volatile over the 35-year period. The 1990s reflected post-conflict reconstruction after the Paris Peace Accords, with growth fluctuating between 1.2% and 8.2%. The 1999-2008 boom - averaging over 10% - was driven by garment exports, tourism expansion, construction, and FDI inflows. The post-2009 era shows increasing vulnerability to external shocks: the Global Financial Crisis (2009: 0.1%), the COVID-19 pandemic (2020: -3.6%), and a slow recovery subsequently (2021-2024: 3-6%). Since 2010, growth has largely remained in the 5-8% range, often below the SDG Target 8.1 benchmark of 7% per annum.</w:t>
      </w:r>
    </w:p>
    <w:p w14:paraId="4CC07717" w14:textId="77777777" w:rsidR="00314E67" w:rsidRDefault="00000000">
      <w:pPr>
        <w:pStyle w:val="Heading1"/>
        <w:rPr>
          <w:sz w:val="22"/>
          <w:szCs w:val="22"/>
        </w:rPr>
      </w:pPr>
      <w:r>
        <w:rPr>
          <w:sz w:val="22"/>
          <w:szCs w:val="22"/>
        </w:rPr>
        <w:t>RO2: To examine the relationships between GDP growth and selected economic indicators</w:t>
      </w:r>
    </w:p>
    <w:p w14:paraId="0EA57F08" w14:textId="77777777" w:rsidR="00314E67" w:rsidRDefault="00000000">
      <w:pPr>
        <w:pStyle w:val="Heading2"/>
        <w:rPr>
          <w:sz w:val="22"/>
          <w:szCs w:val="22"/>
        </w:rPr>
      </w:pPr>
      <w:r>
        <w:rPr>
          <w:sz w:val="22"/>
          <w:szCs w:val="22"/>
        </w:rPr>
        <w:t>RQ2: Which economic indicators are associated with GDP growth in Cambodia?</w:t>
      </w:r>
    </w:p>
    <w:p w14:paraId="7E0708EE" w14:textId="77777777" w:rsidR="00314E67" w:rsidRDefault="00314E67"/>
    <w:p w14:paraId="6EEE870C" w14:textId="77777777" w:rsidR="00314E67" w:rsidRDefault="00314E67"/>
    <w:p w14:paraId="4FBFC979" w14:textId="77777777" w:rsidR="00314E67" w:rsidRDefault="00000000">
      <w:pPr>
        <w:rPr>
          <w:b/>
        </w:rPr>
      </w:pPr>
      <w:r>
        <w:rPr>
          <w:b/>
        </w:rPr>
        <w:t>Result (Correlations with GDP growth, ranked by magnitude):</w:t>
      </w:r>
    </w:p>
    <w:p w14:paraId="0BA11960" w14:textId="77777777" w:rsidR="00314E67" w:rsidRDefault="00314E67">
      <w:pPr>
        <w:rPr>
          <w:b/>
        </w:rPr>
      </w:pPr>
    </w:p>
    <w:p w14:paraId="3E57395D" w14:textId="77777777" w:rsidR="00314E67" w:rsidRDefault="00314E67">
      <w:pPr>
        <w:rPr>
          <w:b/>
        </w:rPr>
      </w:pPr>
    </w:p>
    <w:tbl>
      <w:tblPr>
        <w:tblStyle w:val="LightGrid-Accent1"/>
        <w:tblW w:w="0" w:type="auto"/>
        <w:jc w:val="center"/>
        <w:tblLook w:val="04A0" w:firstRow="1" w:lastRow="0" w:firstColumn="1" w:lastColumn="0" w:noHBand="0" w:noVBand="1"/>
      </w:tblPr>
      <w:tblGrid>
        <w:gridCol w:w="2840"/>
        <w:gridCol w:w="2824"/>
        <w:gridCol w:w="2819"/>
      </w:tblGrid>
      <w:tr w:rsidR="00314E67" w14:paraId="77AD3B2C"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340752F" w14:textId="77777777" w:rsidR="00314E67" w:rsidRDefault="00000000">
            <w:r>
              <w:t>Indicator</w:t>
            </w:r>
          </w:p>
        </w:tc>
        <w:tc>
          <w:tcPr>
            <w:tcW w:w="2880" w:type="dxa"/>
          </w:tcPr>
          <w:p w14:paraId="4ADC6217" w14:textId="77777777" w:rsidR="00314E67" w:rsidRDefault="00000000">
            <w:pPr>
              <w:cnfStyle w:val="100000000000" w:firstRow="1" w:lastRow="0" w:firstColumn="0" w:lastColumn="0" w:oddVBand="0" w:evenVBand="0" w:oddHBand="0" w:evenHBand="0" w:firstRowFirstColumn="0" w:firstRowLastColumn="0" w:lastRowFirstColumn="0" w:lastRowLastColumn="0"/>
            </w:pPr>
            <w:r>
              <w:t>Correlation</w:t>
            </w:r>
          </w:p>
        </w:tc>
        <w:tc>
          <w:tcPr>
            <w:tcW w:w="2880" w:type="dxa"/>
          </w:tcPr>
          <w:p w14:paraId="03ABFA47" w14:textId="77777777" w:rsidR="00314E67" w:rsidRDefault="00000000">
            <w:pPr>
              <w:cnfStyle w:val="100000000000" w:firstRow="1" w:lastRow="0" w:firstColumn="0" w:lastColumn="0" w:oddVBand="0" w:evenVBand="0" w:oddHBand="0" w:evenHBand="0" w:firstRowFirstColumn="0" w:firstRowLastColumn="0" w:lastRowFirstColumn="0" w:lastRowLastColumn="0"/>
            </w:pPr>
            <w:r>
              <w:t>Direction</w:t>
            </w:r>
          </w:p>
        </w:tc>
      </w:tr>
      <w:tr w:rsidR="00314E67" w14:paraId="61DD3E1C"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BC40ED4" w14:textId="77777777" w:rsidR="00314E67" w:rsidRDefault="00000000">
            <w:r>
              <w:t>Gross Investment</w:t>
            </w:r>
          </w:p>
        </w:tc>
        <w:tc>
          <w:tcPr>
            <w:tcW w:w="2880" w:type="dxa"/>
          </w:tcPr>
          <w:p w14:paraId="3B79C0FE" w14:textId="77777777" w:rsidR="00314E67" w:rsidRDefault="00000000">
            <w:pPr>
              <w:cnfStyle w:val="000000000000" w:firstRow="0" w:lastRow="0" w:firstColumn="0" w:lastColumn="0" w:oddVBand="0" w:evenVBand="0" w:oddHBand="0" w:evenHBand="0" w:firstRowFirstColumn="0" w:firstRowLastColumn="0" w:lastRowFirstColumn="0" w:lastRowLastColumn="0"/>
            </w:pPr>
            <w:r>
              <w:t>-0.455</w:t>
            </w:r>
          </w:p>
        </w:tc>
        <w:tc>
          <w:tcPr>
            <w:tcW w:w="2880" w:type="dxa"/>
          </w:tcPr>
          <w:p w14:paraId="48EDB248" w14:textId="77777777" w:rsidR="00314E67"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14E67" w14:paraId="3A931A87"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FA49CB9" w14:textId="77777777" w:rsidR="00314E67" w:rsidRDefault="00000000">
            <w:r>
              <w:t>FDI (% of GDP)</w:t>
            </w:r>
          </w:p>
        </w:tc>
        <w:tc>
          <w:tcPr>
            <w:tcW w:w="2880" w:type="dxa"/>
          </w:tcPr>
          <w:p w14:paraId="691D5C44" w14:textId="77777777" w:rsidR="00314E67" w:rsidRDefault="00000000">
            <w:pPr>
              <w:cnfStyle w:val="000000000000" w:firstRow="0" w:lastRow="0" w:firstColumn="0" w:lastColumn="0" w:oddVBand="0" w:evenVBand="0" w:oddHBand="0" w:evenHBand="0" w:firstRowFirstColumn="0" w:firstRowLastColumn="0" w:lastRowFirstColumn="0" w:lastRowLastColumn="0"/>
            </w:pPr>
            <w:r>
              <w:t>-0.386</w:t>
            </w:r>
          </w:p>
        </w:tc>
        <w:tc>
          <w:tcPr>
            <w:tcW w:w="2880" w:type="dxa"/>
          </w:tcPr>
          <w:p w14:paraId="26698EAC" w14:textId="77777777" w:rsidR="00314E67"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14E67" w14:paraId="4E26EF90"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86D6FCE" w14:textId="77777777" w:rsidR="00314E67" w:rsidRDefault="00000000">
            <w:r>
              <w:t>Real Premium</w:t>
            </w:r>
          </w:p>
        </w:tc>
        <w:tc>
          <w:tcPr>
            <w:tcW w:w="2880" w:type="dxa"/>
          </w:tcPr>
          <w:p w14:paraId="5967059B" w14:textId="77777777" w:rsidR="00314E67" w:rsidRDefault="00000000">
            <w:pPr>
              <w:cnfStyle w:val="000000000000" w:firstRow="0" w:lastRow="0" w:firstColumn="0" w:lastColumn="0" w:oddVBand="0" w:evenVBand="0" w:oddHBand="0" w:evenHBand="0" w:firstRowFirstColumn="0" w:firstRowLastColumn="0" w:lastRowFirstColumn="0" w:lastRowLastColumn="0"/>
            </w:pPr>
            <w:r>
              <w:t>+0.315</w:t>
            </w:r>
          </w:p>
        </w:tc>
        <w:tc>
          <w:tcPr>
            <w:tcW w:w="2880" w:type="dxa"/>
          </w:tcPr>
          <w:p w14:paraId="604EE7FE" w14:textId="77777777" w:rsidR="00314E67" w:rsidRDefault="00000000">
            <w:pPr>
              <w:cnfStyle w:val="000000000000" w:firstRow="0" w:lastRow="0" w:firstColumn="0" w:lastColumn="0" w:oddVBand="0" w:evenVBand="0" w:oddHBand="0" w:evenHBand="0" w:firstRowFirstColumn="0" w:firstRowLastColumn="0" w:lastRowFirstColumn="0" w:lastRowLastColumn="0"/>
            </w:pPr>
            <w:r>
              <w:t>Positive</w:t>
            </w:r>
          </w:p>
        </w:tc>
      </w:tr>
      <w:tr w:rsidR="00314E67" w14:paraId="1BAFEFB5"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6C13D8E" w14:textId="77777777" w:rsidR="00314E67" w:rsidRDefault="00000000">
            <w:r>
              <w:t>Inflation</w:t>
            </w:r>
          </w:p>
        </w:tc>
        <w:tc>
          <w:tcPr>
            <w:tcW w:w="2880" w:type="dxa"/>
          </w:tcPr>
          <w:p w14:paraId="7E634D0B" w14:textId="77777777" w:rsidR="00314E67" w:rsidRDefault="00000000">
            <w:pPr>
              <w:cnfStyle w:val="000000000000" w:firstRow="0" w:lastRow="0" w:firstColumn="0" w:lastColumn="0" w:oddVBand="0" w:evenVBand="0" w:oddHBand="0" w:evenHBand="0" w:firstRowFirstColumn="0" w:firstRowLastColumn="0" w:lastRowFirstColumn="0" w:lastRowLastColumn="0"/>
            </w:pPr>
            <w:r>
              <w:t>-0.221</w:t>
            </w:r>
          </w:p>
        </w:tc>
        <w:tc>
          <w:tcPr>
            <w:tcW w:w="2880" w:type="dxa"/>
          </w:tcPr>
          <w:p w14:paraId="428FA4BE" w14:textId="77777777" w:rsidR="00314E67"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14E67" w14:paraId="1115F9AB"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78BAEB2" w14:textId="77777777" w:rsidR="00314E67" w:rsidRDefault="00000000">
            <w:r>
              <w:t>Population Growth</w:t>
            </w:r>
          </w:p>
        </w:tc>
        <w:tc>
          <w:tcPr>
            <w:tcW w:w="2880" w:type="dxa"/>
          </w:tcPr>
          <w:p w14:paraId="54B9C87E" w14:textId="77777777" w:rsidR="00314E67" w:rsidRDefault="00000000">
            <w:pPr>
              <w:cnfStyle w:val="000000000000" w:firstRow="0" w:lastRow="0" w:firstColumn="0" w:lastColumn="0" w:oddVBand="0" w:evenVBand="0" w:oddHBand="0" w:evenHBand="0" w:firstRowFirstColumn="0" w:firstRowLastColumn="0" w:lastRowFirstColumn="0" w:lastRowLastColumn="0"/>
            </w:pPr>
            <w:r>
              <w:t>-0.189</w:t>
            </w:r>
          </w:p>
        </w:tc>
        <w:tc>
          <w:tcPr>
            <w:tcW w:w="2880" w:type="dxa"/>
          </w:tcPr>
          <w:p w14:paraId="764D5DD7" w14:textId="77777777" w:rsidR="00314E67" w:rsidRDefault="00000000">
            <w:pPr>
              <w:cnfStyle w:val="000000000000" w:firstRow="0" w:lastRow="0" w:firstColumn="0" w:lastColumn="0" w:oddVBand="0" w:evenVBand="0" w:oddHBand="0" w:evenHBand="0" w:firstRowFirstColumn="0" w:firstRowLastColumn="0" w:lastRowFirstColumn="0" w:lastRowLastColumn="0"/>
            </w:pPr>
            <w:r>
              <w:t>Negative</w:t>
            </w:r>
          </w:p>
        </w:tc>
      </w:tr>
      <w:tr w:rsidR="00314E67" w14:paraId="0668A9C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317D2A4" w14:textId="77777777" w:rsidR="00314E67" w:rsidRDefault="00000000">
            <w:r>
              <w:lastRenderedPageBreak/>
              <w:t>Year</w:t>
            </w:r>
          </w:p>
        </w:tc>
        <w:tc>
          <w:tcPr>
            <w:tcW w:w="2880" w:type="dxa"/>
          </w:tcPr>
          <w:p w14:paraId="13F895ED" w14:textId="77777777" w:rsidR="00314E67" w:rsidRDefault="00000000">
            <w:pPr>
              <w:cnfStyle w:val="000000000000" w:firstRow="0" w:lastRow="0" w:firstColumn="0" w:lastColumn="0" w:oddVBand="0" w:evenVBand="0" w:oddHBand="0" w:evenHBand="0" w:firstRowFirstColumn="0" w:firstRowLastColumn="0" w:lastRowFirstColumn="0" w:lastRowLastColumn="0"/>
            </w:pPr>
            <w:r>
              <w:t>-0.132</w:t>
            </w:r>
          </w:p>
        </w:tc>
        <w:tc>
          <w:tcPr>
            <w:tcW w:w="2880" w:type="dxa"/>
          </w:tcPr>
          <w:p w14:paraId="429C6F5A" w14:textId="77777777" w:rsidR="00314E67" w:rsidRDefault="00000000">
            <w:pPr>
              <w:cnfStyle w:val="000000000000" w:firstRow="0" w:lastRow="0" w:firstColumn="0" w:lastColumn="0" w:oddVBand="0" w:evenVBand="0" w:oddHBand="0" w:evenHBand="0" w:firstRowFirstColumn="0" w:firstRowLastColumn="0" w:lastRowFirstColumn="0" w:lastRowLastColumn="0"/>
            </w:pPr>
            <w:r>
              <w:t>Negative (secular slowdown)</w:t>
            </w:r>
          </w:p>
        </w:tc>
      </w:tr>
      <w:tr w:rsidR="00314E67" w14:paraId="597F5CA7"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8455E0D" w14:textId="77777777" w:rsidR="00314E67" w:rsidRDefault="00000000">
            <w:r>
              <w:t>Unemployment</w:t>
            </w:r>
          </w:p>
        </w:tc>
        <w:tc>
          <w:tcPr>
            <w:tcW w:w="2880" w:type="dxa"/>
          </w:tcPr>
          <w:p w14:paraId="18360C1D" w14:textId="77777777" w:rsidR="00314E67" w:rsidRDefault="00000000">
            <w:pPr>
              <w:cnfStyle w:val="000000000000" w:firstRow="0" w:lastRow="0" w:firstColumn="0" w:lastColumn="0" w:oddVBand="0" w:evenVBand="0" w:oddHBand="0" w:evenHBand="0" w:firstRowFirstColumn="0" w:firstRowLastColumn="0" w:lastRowFirstColumn="0" w:lastRowLastColumn="0"/>
            </w:pPr>
            <w:r>
              <w:t>+0.049</w:t>
            </w:r>
          </w:p>
        </w:tc>
        <w:tc>
          <w:tcPr>
            <w:tcW w:w="2880" w:type="dxa"/>
          </w:tcPr>
          <w:p w14:paraId="6C7B83E2" w14:textId="77777777" w:rsidR="00314E67" w:rsidRDefault="00000000">
            <w:pPr>
              <w:cnfStyle w:val="000000000000" w:firstRow="0" w:lastRow="0" w:firstColumn="0" w:lastColumn="0" w:oddVBand="0" w:evenVBand="0" w:oddHBand="0" w:evenHBand="0" w:firstRowFirstColumn="0" w:firstRowLastColumn="0" w:lastRowFirstColumn="0" w:lastRowLastColumn="0"/>
            </w:pPr>
            <w:r>
              <w:t>Weak Positive</w:t>
            </w:r>
          </w:p>
        </w:tc>
      </w:tr>
      <w:tr w:rsidR="00314E67" w14:paraId="1C394D6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6124DB6" w14:textId="77777777" w:rsidR="00314E67" w:rsidRDefault="00000000">
            <w:r>
              <w:t>Exports</w:t>
            </w:r>
          </w:p>
        </w:tc>
        <w:tc>
          <w:tcPr>
            <w:tcW w:w="2880" w:type="dxa"/>
          </w:tcPr>
          <w:p w14:paraId="073BE6D5" w14:textId="77777777" w:rsidR="00314E67" w:rsidRDefault="00000000">
            <w:pPr>
              <w:cnfStyle w:val="000000000000" w:firstRow="0" w:lastRow="0" w:firstColumn="0" w:lastColumn="0" w:oddVBand="0" w:evenVBand="0" w:oddHBand="0" w:evenHBand="0" w:firstRowFirstColumn="0" w:firstRowLastColumn="0" w:lastRowFirstColumn="0" w:lastRowLastColumn="0"/>
            </w:pPr>
            <w:r>
              <w:t>+0.041</w:t>
            </w:r>
          </w:p>
        </w:tc>
        <w:tc>
          <w:tcPr>
            <w:tcW w:w="2880" w:type="dxa"/>
          </w:tcPr>
          <w:p w14:paraId="20133732" w14:textId="77777777" w:rsidR="00314E67" w:rsidRDefault="00000000">
            <w:pPr>
              <w:cnfStyle w:val="000000000000" w:firstRow="0" w:lastRow="0" w:firstColumn="0" w:lastColumn="0" w:oddVBand="0" w:evenVBand="0" w:oddHBand="0" w:evenHBand="0" w:firstRowFirstColumn="0" w:firstRowLastColumn="0" w:lastRowFirstColumn="0" w:lastRowLastColumn="0"/>
            </w:pPr>
            <w:r>
              <w:t>Weak Positive</w:t>
            </w:r>
          </w:p>
        </w:tc>
      </w:tr>
      <w:tr w:rsidR="00314E67" w14:paraId="430760EA"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D5A88BC" w14:textId="77777777" w:rsidR="00314E67" w:rsidRDefault="00000000">
            <w:r>
              <w:t>Net Exports</w:t>
            </w:r>
          </w:p>
        </w:tc>
        <w:tc>
          <w:tcPr>
            <w:tcW w:w="2880" w:type="dxa"/>
          </w:tcPr>
          <w:p w14:paraId="753C6FDB" w14:textId="77777777" w:rsidR="00314E67" w:rsidRDefault="00000000">
            <w:pPr>
              <w:cnfStyle w:val="000000000000" w:firstRow="0" w:lastRow="0" w:firstColumn="0" w:lastColumn="0" w:oddVBand="0" w:evenVBand="0" w:oddHBand="0" w:evenHBand="0" w:firstRowFirstColumn="0" w:firstRowLastColumn="0" w:lastRowFirstColumn="0" w:lastRowLastColumn="0"/>
            </w:pPr>
            <w:r>
              <w:t>+0.009</w:t>
            </w:r>
          </w:p>
        </w:tc>
        <w:tc>
          <w:tcPr>
            <w:tcW w:w="2880" w:type="dxa"/>
          </w:tcPr>
          <w:p w14:paraId="2A9C236A" w14:textId="77777777" w:rsidR="00314E67" w:rsidRDefault="00000000">
            <w:pPr>
              <w:cnfStyle w:val="000000000000" w:firstRow="0" w:lastRow="0" w:firstColumn="0" w:lastColumn="0" w:oddVBand="0" w:evenVBand="0" w:oddHBand="0" w:evenHBand="0" w:firstRowFirstColumn="0" w:firstRowLastColumn="0" w:lastRowFirstColumn="0" w:lastRowLastColumn="0"/>
            </w:pPr>
            <w:r>
              <w:t>Negligible</w:t>
            </w:r>
          </w:p>
        </w:tc>
      </w:tr>
    </w:tbl>
    <w:p w14:paraId="0D1DCED2" w14:textId="77777777" w:rsidR="00314E67" w:rsidRDefault="00314E67"/>
    <w:p w14:paraId="4B9411A6" w14:textId="77777777" w:rsidR="00314E67" w:rsidRDefault="00000000">
      <w:pPr>
        <w:rPr>
          <w:b/>
        </w:rPr>
      </w:pPr>
      <w:r>
        <w:rPr>
          <w:b/>
        </w:rPr>
        <w:t>Discussion:</w:t>
      </w:r>
    </w:p>
    <w:p w14:paraId="0A75F276" w14:textId="77777777" w:rsidR="00314E67" w:rsidRDefault="00314E67">
      <w:pPr>
        <w:rPr>
          <w:b/>
        </w:rPr>
      </w:pPr>
    </w:p>
    <w:p w14:paraId="69E35495" w14:textId="77777777" w:rsidR="00314E67" w:rsidRDefault="00000000">
      <w:pPr>
        <w:jc w:val="both"/>
      </w:pPr>
      <w:r>
        <w:t>The negative correlation between gross investment and GDP growth (-0.455) is counterintuitive at first glance. However, this may reflect diminishing returns to capital in Cambodia - as investment rises, each additional unit contributes less to growth. The Lasso model coefficient of -3.86 for gross investment supports this interpretation, suggesting potential inefficiencies such as crowding out of private investment by public borrowing, or investment flowing into low-productivity sectors. FDI correlates negatively with growth (-0.386) as well, possibly because FDI surged in the post-2010 period when growth was decelerating from double-digit levels. Real premium (real interest rate proxy) shows a positive correlation (+0.315), an unusual finding that may reflect periods where high returns to capital coincided with strong growth. Inflation is negatively associated (-0.221), confirming that price instability dampens economic activity.</w:t>
      </w:r>
    </w:p>
    <w:p w14:paraId="5130CF6A" w14:textId="77777777" w:rsidR="00314E67" w:rsidRDefault="00000000">
      <w:pPr>
        <w:pStyle w:val="Heading1"/>
        <w:rPr>
          <w:sz w:val="22"/>
          <w:szCs w:val="22"/>
        </w:rPr>
      </w:pPr>
      <w:r>
        <w:rPr>
          <w:sz w:val="22"/>
          <w:szCs w:val="22"/>
        </w:rPr>
        <w:t>RO3: To identify factors associated with periods of slow GDP growth</w:t>
      </w:r>
    </w:p>
    <w:p w14:paraId="5891F5F0" w14:textId="77777777" w:rsidR="00314E67" w:rsidRDefault="00000000">
      <w:pPr>
        <w:pStyle w:val="Heading2"/>
        <w:rPr>
          <w:sz w:val="22"/>
          <w:szCs w:val="22"/>
        </w:rPr>
      </w:pPr>
      <w:r>
        <w:rPr>
          <w:sz w:val="22"/>
          <w:szCs w:val="22"/>
        </w:rPr>
        <w:t>RQ3: What relationships exist among the selected economic variables?</w:t>
      </w:r>
    </w:p>
    <w:p w14:paraId="7294EF9F" w14:textId="77777777" w:rsidR="00314E67" w:rsidRDefault="00000000">
      <w:pPr>
        <w:rPr>
          <w:b/>
        </w:rPr>
      </w:pPr>
      <w:r>
        <w:rPr>
          <w:b/>
        </w:rPr>
        <w:t>Result (Key inter-variable correlations):</w:t>
      </w:r>
    </w:p>
    <w:p w14:paraId="56B99521" w14:textId="77777777" w:rsidR="00314E67" w:rsidRDefault="00314E67">
      <w:pPr>
        <w:rPr>
          <w:b/>
        </w:rPr>
      </w:pPr>
    </w:p>
    <w:tbl>
      <w:tblPr>
        <w:tblStyle w:val="LightGrid-Accent1"/>
        <w:tblW w:w="0" w:type="auto"/>
        <w:jc w:val="center"/>
        <w:tblLook w:val="04A0" w:firstRow="1" w:lastRow="0" w:firstColumn="1" w:lastColumn="0" w:noHBand="0" w:noVBand="1"/>
      </w:tblPr>
      <w:tblGrid>
        <w:gridCol w:w="2844"/>
        <w:gridCol w:w="2812"/>
        <w:gridCol w:w="2827"/>
      </w:tblGrid>
      <w:tr w:rsidR="00314E67" w14:paraId="7C3715BB"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B0242" w14:textId="77777777" w:rsidR="00314E67" w:rsidRDefault="00000000">
            <w:r>
              <w:t>Variable Pair</w:t>
            </w:r>
          </w:p>
        </w:tc>
        <w:tc>
          <w:tcPr>
            <w:tcW w:w="2880" w:type="dxa"/>
          </w:tcPr>
          <w:p w14:paraId="5DB26DB3" w14:textId="77777777" w:rsidR="00314E67" w:rsidRDefault="00000000">
            <w:pPr>
              <w:cnfStyle w:val="100000000000" w:firstRow="1" w:lastRow="0" w:firstColumn="0" w:lastColumn="0" w:oddVBand="0" w:evenVBand="0" w:oddHBand="0" w:evenHBand="0" w:firstRowFirstColumn="0" w:firstRowLastColumn="0" w:lastRowFirstColumn="0" w:lastRowLastColumn="0"/>
            </w:pPr>
            <w:r>
              <w:t>Correlation</w:t>
            </w:r>
          </w:p>
        </w:tc>
        <w:tc>
          <w:tcPr>
            <w:tcW w:w="2880" w:type="dxa"/>
          </w:tcPr>
          <w:p w14:paraId="2127500F" w14:textId="77777777" w:rsidR="00314E67"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314E67" w14:paraId="2584A0B2"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8498F4E" w14:textId="77777777" w:rsidR="00314E67" w:rsidRDefault="00000000">
            <w:r>
              <w:t>inflation_gd vs population growth</w:t>
            </w:r>
          </w:p>
        </w:tc>
        <w:tc>
          <w:tcPr>
            <w:tcW w:w="2880" w:type="dxa"/>
          </w:tcPr>
          <w:p w14:paraId="690BA496" w14:textId="77777777" w:rsidR="00314E67" w:rsidRDefault="00000000">
            <w:pPr>
              <w:cnfStyle w:val="000000000000" w:firstRow="0" w:lastRow="0" w:firstColumn="0" w:lastColumn="0" w:oddVBand="0" w:evenVBand="0" w:oddHBand="0" w:evenHBand="0" w:firstRowFirstColumn="0" w:firstRowLastColumn="0" w:lastRowFirstColumn="0" w:lastRowLastColumn="0"/>
            </w:pPr>
            <w:r>
              <w:t>+0.974</w:t>
            </w:r>
          </w:p>
        </w:tc>
        <w:tc>
          <w:tcPr>
            <w:tcW w:w="2880" w:type="dxa"/>
          </w:tcPr>
          <w:p w14:paraId="7EB5F4FE" w14:textId="77777777" w:rsidR="00314E67" w:rsidRDefault="00000000">
            <w:pPr>
              <w:cnfStyle w:val="000000000000" w:firstRow="0" w:lastRow="0" w:firstColumn="0" w:lastColumn="0" w:oddVBand="0" w:evenVBand="0" w:oddHBand="0" w:evenHBand="0" w:firstRowFirstColumn="0" w:firstRowLastColumn="0" w:lastRowFirstColumn="0" w:lastRowLastColumn="0"/>
            </w:pPr>
            <w:r>
              <w:t>Near-perfect multicollinearity</w:t>
            </w:r>
          </w:p>
        </w:tc>
      </w:tr>
      <w:tr w:rsidR="00314E67" w14:paraId="0FFCB2D5"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C15A035" w14:textId="77777777" w:rsidR="00314E67" w:rsidRDefault="00000000">
            <w:r>
              <w:t>inflation_gd vs real_premium</w:t>
            </w:r>
          </w:p>
        </w:tc>
        <w:tc>
          <w:tcPr>
            <w:tcW w:w="2880" w:type="dxa"/>
          </w:tcPr>
          <w:p w14:paraId="14AFFF67" w14:textId="77777777" w:rsidR="00314E67" w:rsidRDefault="00000000">
            <w:pPr>
              <w:cnfStyle w:val="000000000000" w:firstRow="0" w:lastRow="0" w:firstColumn="0" w:lastColumn="0" w:oddVBand="0" w:evenVBand="0" w:oddHBand="0" w:evenHBand="0" w:firstRowFirstColumn="0" w:firstRowLastColumn="0" w:lastRowFirstColumn="0" w:lastRowLastColumn="0"/>
            </w:pPr>
            <w:r>
              <w:t>-0.984</w:t>
            </w:r>
          </w:p>
        </w:tc>
        <w:tc>
          <w:tcPr>
            <w:tcW w:w="2880" w:type="dxa"/>
          </w:tcPr>
          <w:p w14:paraId="3EE5C67E" w14:textId="77777777" w:rsidR="00314E67" w:rsidRDefault="00000000">
            <w:pPr>
              <w:cnfStyle w:val="000000000000" w:firstRow="0" w:lastRow="0" w:firstColumn="0" w:lastColumn="0" w:oddVBand="0" w:evenVBand="0" w:oddHBand="0" w:evenHBand="0" w:firstRowFirstColumn="0" w:firstRowLastColumn="0" w:lastRowFirstColumn="0" w:lastRowLastColumn="0"/>
            </w:pPr>
            <w:r>
              <w:t>Near-perfect negative collinearity</w:t>
            </w:r>
          </w:p>
        </w:tc>
      </w:tr>
      <w:tr w:rsidR="00314E67" w14:paraId="3F406D4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C654DCC" w14:textId="77777777" w:rsidR="00314E67" w:rsidRDefault="00000000">
            <w:r>
              <w:t>net_exports vs year</w:t>
            </w:r>
          </w:p>
        </w:tc>
        <w:tc>
          <w:tcPr>
            <w:tcW w:w="2880" w:type="dxa"/>
          </w:tcPr>
          <w:p w14:paraId="056682B3" w14:textId="77777777" w:rsidR="00314E67" w:rsidRDefault="00000000">
            <w:pPr>
              <w:cnfStyle w:val="000000000000" w:firstRow="0" w:lastRow="0" w:firstColumn="0" w:lastColumn="0" w:oddVBand="0" w:evenVBand="0" w:oddHBand="0" w:evenHBand="0" w:firstRowFirstColumn="0" w:firstRowLastColumn="0" w:lastRowFirstColumn="0" w:lastRowLastColumn="0"/>
            </w:pPr>
            <w:r>
              <w:t>+0.896</w:t>
            </w:r>
          </w:p>
        </w:tc>
        <w:tc>
          <w:tcPr>
            <w:tcW w:w="2880" w:type="dxa"/>
          </w:tcPr>
          <w:p w14:paraId="48B0BC9B" w14:textId="77777777" w:rsidR="00314E67" w:rsidRDefault="00000000">
            <w:pPr>
              <w:cnfStyle w:val="000000000000" w:firstRow="0" w:lastRow="0" w:firstColumn="0" w:lastColumn="0" w:oddVBand="0" w:evenVBand="0" w:oddHBand="0" w:evenHBand="0" w:firstRowFirstColumn="0" w:firstRowLastColumn="0" w:lastRowFirstColumn="0" w:lastRowLastColumn="0"/>
            </w:pPr>
            <w:r>
              <w:t>Trade deficit steadily narrowing</w:t>
            </w:r>
          </w:p>
        </w:tc>
      </w:tr>
      <w:tr w:rsidR="00314E67" w14:paraId="5A45514B"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5AC6CD9" w14:textId="77777777" w:rsidR="00314E67" w:rsidRDefault="00000000">
            <w:r>
              <w:t>gross_investment vs fdi_pct_gdp</w:t>
            </w:r>
          </w:p>
        </w:tc>
        <w:tc>
          <w:tcPr>
            <w:tcW w:w="2880" w:type="dxa"/>
          </w:tcPr>
          <w:p w14:paraId="62D87B93" w14:textId="77777777" w:rsidR="00314E67" w:rsidRDefault="00000000">
            <w:pPr>
              <w:cnfStyle w:val="000000000000" w:firstRow="0" w:lastRow="0" w:firstColumn="0" w:lastColumn="0" w:oddVBand="0" w:evenVBand="0" w:oddHBand="0" w:evenHBand="0" w:firstRowFirstColumn="0" w:firstRowLastColumn="0" w:lastRowFirstColumn="0" w:lastRowLastColumn="0"/>
            </w:pPr>
            <w:r>
              <w:t>+0.929</w:t>
            </w:r>
          </w:p>
        </w:tc>
        <w:tc>
          <w:tcPr>
            <w:tcW w:w="2880" w:type="dxa"/>
          </w:tcPr>
          <w:p w14:paraId="26099FD4" w14:textId="77777777" w:rsidR="00314E67" w:rsidRDefault="00000000">
            <w:pPr>
              <w:cnfStyle w:val="000000000000" w:firstRow="0" w:lastRow="0" w:firstColumn="0" w:lastColumn="0" w:oddVBand="0" w:evenVBand="0" w:oddHBand="0" w:evenHBand="0" w:firstRowFirstColumn="0" w:firstRowLastColumn="0" w:lastRowFirstColumn="0" w:lastRowLastColumn="0"/>
            </w:pPr>
            <w:r>
              <w:t>FDI dominates total investment</w:t>
            </w:r>
          </w:p>
        </w:tc>
      </w:tr>
      <w:tr w:rsidR="00314E67" w14:paraId="355E62F2"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04C9CD0" w14:textId="77777777" w:rsidR="00314E67" w:rsidRDefault="00000000">
            <w:r>
              <w:t>unemployment vs year</w:t>
            </w:r>
          </w:p>
        </w:tc>
        <w:tc>
          <w:tcPr>
            <w:tcW w:w="2880" w:type="dxa"/>
          </w:tcPr>
          <w:p w14:paraId="0628A6FE" w14:textId="77777777" w:rsidR="00314E67" w:rsidRDefault="00000000">
            <w:pPr>
              <w:cnfStyle w:val="000000000000" w:firstRow="0" w:lastRow="0" w:firstColumn="0" w:lastColumn="0" w:oddVBand="0" w:evenVBand="0" w:oddHBand="0" w:evenHBand="0" w:firstRowFirstColumn="0" w:firstRowLastColumn="0" w:lastRowFirstColumn="0" w:lastRowLastColumn="0"/>
            </w:pPr>
            <w:r>
              <w:t>-0.950</w:t>
            </w:r>
          </w:p>
        </w:tc>
        <w:tc>
          <w:tcPr>
            <w:tcW w:w="2880" w:type="dxa"/>
          </w:tcPr>
          <w:p w14:paraId="609B0010" w14:textId="77777777" w:rsidR="00314E67" w:rsidRDefault="00000000">
            <w:pPr>
              <w:cnfStyle w:val="000000000000" w:firstRow="0" w:lastRow="0" w:firstColumn="0" w:lastColumn="0" w:oddVBand="0" w:evenVBand="0" w:oddHBand="0" w:evenHBand="0" w:firstRowFirstColumn="0" w:firstRowLastColumn="0" w:lastRowFirstColumn="0" w:lastRowLastColumn="0"/>
            </w:pPr>
            <w:r>
              <w:t>Unemployment steadily declining over decades</w:t>
            </w:r>
          </w:p>
        </w:tc>
      </w:tr>
      <w:tr w:rsidR="00314E67" w14:paraId="402EC17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1069E6E" w14:textId="77777777" w:rsidR="00314E67" w:rsidRDefault="00000000">
            <w:r>
              <w:t>inflation_gd vs net_exports</w:t>
            </w:r>
          </w:p>
        </w:tc>
        <w:tc>
          <w:tcPr>
            <w:tcW w:w="2880" w:type="dxa"/>
          </w:tcPr>
          <w:p w14:paraId="75F8A47F" w14:textId="77777777" w:rsidR="00314E67" w:rsidRDefault="00000000">
            <w:pPr>
              <w:cnfStyle w:val="000000000000" w:firstRow="0" w:lastRow="0" w:firstColumn="0" w:lastColumn="0" w:oddVBand="0" w:evenVBand="0" w:oddHBand="0" w:evenHBand="0" w:firstRowFirstColumn="0" w:firstRowLastColumn="0" w:lastRowFirstColumn="0" w:lastRowLastColumn="0"/>
            </w:pPr>
            <w:r>
              <w:t>-0.928</w:t>
            </w:r>
          </w:p>
        </w:tc>
        <w:tc>
          <w:tcPr>
            <w:tcW w:w="2880" w:type="dxa"/>
          </w:tcPr>
          <w:p w14:paraId="5ECB815D" w14:textId="77777777" w:rsidR="00314E67" w:rsidRDefault="00000000">
            <w:pPr>
              <w:cnfStyle w:val="000000000000" w:firstRow="0" w:lastRow="0" w:firstColumn="0" w:lastColumn="0" w:oddVBand="0" w:evenVBand="0" w:oddHBand="0" w:evenHBand="0" w:firstRowFirstColumn="0" w:firstRowLastColumn="0" w:lastRowFirstColumn="0" w:lastRowLastColumn="0"/>
            </w:pPr>
            <w:r>
              <w:t>High inflation coincides with large trade deficits</w:t>
            </w:r>
          </w:p>
        </w:tc>
      </w:tr>
    </w:tbl>
    <w:p w14:paraId="5CC02B7F" w14:textId="77777777" w:rsidR="00314E67" w:rsidRDefault="00314E67"/>
    <w:p w14:paraId="5351955B" w14:textId="77777777" w:rsidR="00314E67" w:rsidRDefault="00000000">
      <w:pPr>
        <w:rPr>
          <w:b/>
        </w:rPr>
      </w:pPr>
      <w:r>
        <w:rPr>
          <w:b/>
        </w:rPr>
        <w:t>Discussion:</w:t>
      </w:r>
    </w:p>
    <w:p w14:paraId="7BDBA550" w14:textId="77777777" w:rsidR="00314E67" w:rsidRDefault="00314E67">
      <w:pPr>
        <w:rPr>
          <w:b/>
        </w:rPr>
      </w:pPr>
    </w:p>
    <w:p w14:paraId="3461E56D" w14:textId="77777777" w:rsidR="00314E67" w:rsidRDefault="00000000">
      <w:pPr>
        <w:jc w:val="both"/>
      </w:pPr>
      <w:r>
        <w:t>Several variable pairs exhibit dangerously high multicollinearity (|r| &gt; 0.9). The inflation-population growth (+0.974) and inflation-real_premium (-0.984) pairs are particularly problematic for ordinary least squares regression, as they inflate standard errors and make coefficient estimates unstable. This explains why Lasso regression (which applies L1 regularization and performs implicit feature selection) outperformed ordinary linear regression. The near-perfect link between FDI and gross investment (+0.929) confirms that foreign capital is the primary channel of capital formation in Cambodia, while domestic investment plays a relatively smaller role. The steady decline in unemployment (-0.950 correlation with year) reflects Cambodia's structural transformation from agriculture to labor-intensive manufacturing, particularly garments.</w:t>
      </w:r>
    </w:p>
    <w:p w14:paraId="2AAB47B6" w14:textId="77777777" w:rsidR="00314E67" w:rsidRDefault="00000000">
      <w:pPr>
        <w:pStyle w:val="Heading1"/>
        <w:rPr>
          <w:sz w:val="22"/>
          <w:szCs w:val="22"/>
        </w:rPr>
      </w:pPr>
      <w:r>
        <w:rPr>
          <w:sz w:val="22"/>
          <w:szCs w:val="22"/>
        </w:rPr>
        <w:lastRenderedPageBreak/>
        <w:t>RO4: To develop and compare multiple regression models for GDP growth analysis</w:t>
      </w:r>
    </w:p>
    <w:p w14:paraId="07EAE50A" w14:textId="77777777" w:rsidR="00314E67" w:rsidRDefault="00000000">
      <w:pPr>
        <w:pStyle w:val="Heading2"/>
        <w:rPr>
          <w:sz w:val="22"/>
          <w:szCs w:val="22"/>
        </w:rPr>
      </w:pPr>
      <w:r>
        <w:rPr>
          <w:sz w:val="22"/>
          <w:szCs w:val="22"/>
        </w:rPr>
        <w:t>RQ4: Which regression model provides the best performance for GDP growth analysis?</w:t>
      </w:r>
    </w:p>
    <w:p w14:paraId="596174E4" w14:textId="77777777" w:rsidR="00314E67" w:rsidRDefault="00000000">
      <w:pPr>
        <w:rPr>
          <w:b/>
        </w:rPr>
      </w:pPr>
      <w:r>
        <w:rPr>
          <w:b/>
        </w:rPr>
        <w:t>Result:</w:t>
      </w:r>
    </w:p>
    <w:p w14:paraId="0ACE3AE1" w14:textId="77777777" w:rsidR="00314E67" w:rsidRDefault="00314E67">
      <w:pPr>
        <w:rPr>
          <w:b/>
        </w:rPr>
      </w:pPr>
    </w:p>
    <w:tbl>
      <w:tblPr>
        <w:tblStyle w:val="LightGrid-Accent1"/>
        <w:tblW w:w="0" w:type="auto"/>
        <w:jc w:val="center"/>
        <w:tblLook w:val="04A0" w:firstRow="1" w:lastRow="0" w:firstColumn="1" w:lastColumn="0" w:noHBand="0" w:noVBand="1"/>
      </w:tblPr>
      <w:tblGrid>
        <w:gridCol w:w="2837"/>
        <w:gridCol w:w="2823"/>
        <w:gridCol w:w="2823"/>
      </w:tblGrid>
      <w:tr w:rsidR="00314E67" w14:paraId="228CBDF9"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B57A5E" w14:textId="77777777" w:rsidR="00314E67" w:rsidRDefault="00000000">
            <w:r>
              <w:t>Model</w:t>
            </w:r>
          </w:p>
        </w:tc>
        <w:tc>
          <w:tcPr>
            <w:tcW w:w="2880" w:type="dxa"/>
          </w:tcPr>
          <w:p w14:paraId="61243D91" w14:textId="77777777" w:rsidR="00314E67" w:rsidRDefault="00000000">
            <w:pPr>
              <w:cnfStyle w:val="100000000000" w:firstRow="1" w:lastRow="0" w:firstColumn="0" w:lastColumn="0" w:oddVBand="0" w:evenVBand="0" w:oddHBand="0" w:evenHBand="0" w:firstRowFirstColumn="0" w:firstRowLastColumn="0" w:lastRowFirstColumn="0" w:lastRowLastColumn="0"/>
            </w:pPr>
            <w:r>
              <w:t>Training R-squared</w:t>
            </w:r>
          </w:p>
        </w:tc>
        <w:tc>
          <w:tcPr>
            <w:tcW w:w="2880" w:type="dxa"/>
          </w:tcPr>
          <w:p w14:paraId="465AC036" w14:textId="77777777" w:rsidR="00314E67" w:rsidRDefault="00000000">
            <w:pPr>
              <w:cnfStyle w:val="100000000000" w:firstRow="1" w:lastRow="0" w:firstColumn="0" w:lastColumn="0" w:oddVBand="0" w:evenVBand="0" w:oddHBand="0" w:evenHBand="0" w:firstRowFirstColumn="0" w:firstRowLastColumn="0" w:lastRowFirstColumn="0" w:lastRowLastColumn="0"/>
            </w:pPr>
            <w:r>
              <w:t>Testing R-squared</w:t>
            </w:r>
          </w:p>
        </w:tc>
      </w:tr>
      <w:tr w:rsidR="00314E67" w14:paraId="24A3C0EB"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C60B195" w14:textId="77777777" w:rsidR="00314E67" w:rsidRDefault="00000000">
            <w:r>
              <w:t>Lasso Regression (alpha=0.01)</w:t>
            </w:r>
          </w:p>
        </w:tc>
        <w:tc>
          <w:tcPr>
            <w:tcW w:w="2880" w:type="dxa"/>
          </w:tcPr>
          <w:p w14:paraId="7489567A" w14:textId="77777777" w:rsidR="00314E67" w:rsidRDefault="00000000">
            <w:pPr>
              <w:cnfStyle w:val="000000000000" w:firstRow="0" w:lastRow="0" w:firstColumn="0" w:lastColumn="0" w:oddVBand="0" w:evenVBand="0" w:oddHBand="0" w:evenHBand="0" w:firstRowFirstColumn="0" w:firstRowLastColumn="0" w:lastRowFirstColumn="0" w:lastRowLastColumn="0"/>
            </w:pPr>
            <w:r>
              <w:t>0.6161</w:t>
            </w:r>
          </w:p>
        </w:tc>
        <w:tc>
          <w:tcPr>
            <w:tcW w:w="2880" w:type="dxa"/>
          </w:tcPr>
          <w:p w14:paraId="53C76CBF" w14:textId="77777777" w:rsidR="00314E67" w:rsidRDefault="00000000">
            <w:pPr>
              <w:cnfStyle w:val="000000000000" w:firstRow="0" w:lastRow="0" w:firstColumn="0" w:lastColumn="0" w:oddVBand="0" w:evenVBand="0" w:oddHBand="0" w:evenHBand="0" w:firstRowFirstColumn="0" w:firstRowLastColumn="0" w:lastRowFirstColumn="0" w:lastRowLastColumn="0"/>
            </w:pPr>
            <w:r>
              <w:t>0.4974</w:t>
            </w:r>
          </w:p>
        </w:tc>
      </w:tr>
      <w:tr w:rsidR="00314E67" w14:paraId="2628D69E"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92CAF91" w14:textId="77777777" w:rsidR="00314E67" w:rsidRDefault="00000000">
            <w:r>
              <w:t>Ridge Regression (alpha=0.01)</w:t>
            </w:r>
          </w:p>
        </w:tc>
        <w:tc>
          <w:tcPr>
            <w:tcW w:w="2880" w:type="dxa"/>
          </w:tcPr>
          <w:p w14:paraId="0258305C" w14:textId="77777777" w:rsidR="00314E67" w:rsidRDefault="00000000">
            <w:pPr>
              <w:cnfStyle w:val="000000000000" w:firstRow="0" w:lastRow="0" w:firstColumn="0" w:lastColumn="0" w:oddVBand="0" w:evenVBand="0" w:oddHBand="0" w:evenHBand="0" w:firstRowFirstColumn="0" w:firstRowLastColumn="0" w:lastRowFirstColumn="0" w:lastRowLastColumn="0"/>
            </w:pPr>
            <w:r>
              <w:t>0.6249</w:t>
            </w:r>
          </w:p>
        </w:tc>
        <w:tc>
          <w:tcPr>
            <w:tcW w:w="2880" w:type="dxa"/>
          </w:tcPr>
          <w:p w14:paraId="0C43F55E" w14:textId="77777777" w:rsidR="00314E67" w:rsidRDefault="00000000">
            <w:pPr>
              <w:cnfStyle w:val="000000000000" w:firstRow="0" w:lastRow="0" w:firstColumn="0" w:lastColumn="0" w:oddVBand="0" w:evenVBand="0" w:oddHBand="0" w:evenHBand="0" w:firstRowFirstColumn="0" w:firstRowLastColumn="0" w:lastRowFirstColumn="0" w:lastRowLastColumn="0"/>
            </w:pPr>
            <w:r>
              <w:t>0.4912</w:t>
            </w:r>
          </w:p>
        </w:tc>
      </w:tr>
      <w:tr w:rsidR="00314E67" w14:paraId="2B9227D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7BE301A" w14:textId="77777777" w:rsidR="00314E67" w:rsidRDefault="00000000">
            <w:r>
              <w:t>Multiple Linear Regression</w:t>
            </w:r>
          </w:p>
        </w:tc>
        <w:tc>
          <w:tcPr>
            <w:tcW w:w="2880" w:type="dxa"/>
          </w:tcPr>
          <w:p w14:paraId="26480F54" w14:textId="77777777" w:rsidR="00314E67" w:rsidRDefault="00000000">
            <w:pPr>
              <w:cnfStyle w:val="000000000000" w:firstRow="0" w:lastRow="0" w:firstColumn="0" w:lastColumn="0" w:oddVBand="0" w:evenVBand="0" w:oddHBand="0" w:evenHBand="0" w:firstRowFirstColumn="0" w:firstRowLastColumn="0" w:lastRowFirstColumn="0" w:lastRowLastColumn="0"/>
            </w:pPr>
            <w:r>
              <w:t>0.6256</w:t>
            </w:r>
          </w:p>
        </w:tc>
        <w:tc>
          <w:tcPr>
            <w:tcW w:w="2880" w:type="dxa"/>
          </w:tcPr>
          <w:p w14:paraId="3580DC5A" w14:textId="77777777" w:rsidR="00314E67" w:rsidRDefault="00000000">
            <w:pPr>
              <w:cnfStyle w:val="000000000000" w:firstRow="0" w:lastRow="0" w:firstColumn="0" w:lastColumn="0" w:oddVBand="0" w:evenVBand="0" w:oddHBand="0" w:evenHBand="0" w:firstRowFirstColumn="0" w:firstRowLastColumn="0" w:lastRowFirstColumn="0" w:lastRowLastColumn="0"/>
            </w:pPr>
            <w:r>
              <w:t>0.4868</w:t>
            </w:r>
          </w:p>
        </w:tc>
      </w:tr>
      <w:tr w:rsidR="00314E67" w14:paraId="7FCBFC99"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10E9196" w14:textId="77777777" w:rsidR="00314E67" w:rsidRDefault="00000000">
            <w:r>
              <w:t>Random Forest (n=100, depth=2)</w:t>
            </w:r>
          </w:p>
        </w:tc>
        <w:tc>
          <w:tcPr>
            <w:tcW w:w="2880" w:type="dxa"/>
          </w:tcPr>
          <w:p w14:paraId="46F3E95B" w14:textId="77777777" w:rsidR="00314E67" w:rsidRDefault="00000000">
            <w:pPr>
              <w:cnfStyle w:val="000000000000" w:firstRow="0" w:lastRow="0" w:firstColumn="0" w:lastColumn="0" w:oddVBand="0" w:evenVBand="0" w:oddHBand="0" w:evenHBand="0" w:firstRowFirstColumn="0" w:firstRowLastColumn="0" w:lastRowFirstColumn="0" w:lastRowLastColumn="0"/>
            </w:pPr>
            <w:r>
              <w:t>0.6652</w:t>
            </w:r>
          </w:p>
        </w:tc>
        <w:tc>
          <w:tcPr>
            <w:tcW w:w="2880" w:type="dxa"/>
          </w:tcPr>
          <w:p w14:paraId="164C14F0" w14:textId="77777777" w:rsidR="00314E67" w:rsidRDefault="00000000">
            <w:pPr>
              <w:cnfStyle w:val="000000000000" w:firstRow="0" w:lastRow="0" w:firstColumn="0" w:lastColumn="0" w:oddVBand="0" w:evenVBand="0" w:oddHBand="0" w:evenHBand="0" w:firstRowFirstColumn="0" w:firstRowLastColumn="0" w:lastRowFirstColumn="0" w:lastRowLastColumn="0"/>
            </w:pPr>
            <w:r>
              <w:t>0.3268</w:t>
            </w:r>
          </w:p>
        </w:tc>
      </w:tr>
    </w:tbl>
    <w:p w14:paraId="4FA66960" w14:textId="77777777" w:rsidR="00314E67" w:rsidRDefault="00314E67"/>
    <w:p w14:paraId="3E256204" w14:textId="77777777" w:rsidR="00314E67" w:rsidRDefault="00000000">
      <w:pPr>
        <w:rPr>
          <w:b/>
        </w:rPr>
      </w:pPr>
      <w:r>
        <w:rPr>
          <w:b/>
        </w:rPr>
        <w:t>Lasso Feature Coefficients (ranked by importance):</w:t>
      </w:r>
    </w:p>
    <w:p w14:paraId="3B2DFAA3" w14:textId="77777777" w:rsidR="00314E67" w:rsidRDefault="00314E67">
      <w:pPr>
        <w:rPr>
          <w:b/>
        </w:rPr>
      </w:pPr>
    </w:p>
    <w:tbl>
      <w:tblPr>
        <w:tblStyle w:val="LightGrid-Accent1"/>
        <w:tblW w:w="0" w:type="auto"/>
        <w:jc w:val="center"/>
        <w:tblLook w:val="04A0" w:firstRow="1" w:lastRow="0" w:firstColumn="1" w:lastColumn="0" w:noHBand="0" w:noVBand="1"/>
      </w:tblPr>
      <w:tblGrid>
        <w:gridCol w:w="4253"/>
        <w:gridCol w:w="4230"/>
      </w:tblGrid>
      <w:tr w:rsidR="00314E67" w14:paraId="3C0D1394"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F5081E" w14:textId="77777777" w:rsidR="00314E67" w:rsidRDefault="00000000">
            <w:r>
              <w:t>Feature</w:t>
            </w:r>
          </w:p>
        </w:tc>
        <w:tc>
          <w:tcPr>
            <w:tcW w:w="4320" w:type="dxa"/>
          </w:tcPr>
          <w:p w14:paraId="6C455CFC" w14:textId="77777777" w:rsidR="00314E67" w:rsidRDefault="00000000">
            <w:pPr>
              <w:cnfStyle w:val="100000000000" w:firstRow="1" w:lastRow="0" w:firstColumn="0" w:lastColumn="0" w:oddVBand="0" w:evenVBand="0" w:oddHBand="0" w:evenHBand="0" w:firstRowFirstColumn="0" w:firstRowLastColumn="0" w:lastRowFirstColumn="0" w:lastRowLastColumn="0"/>
            </w:pPr>
            <w:r>
              <w:t>Coefficient</w:t>
            </w:r>
          </w:p>
        </w:tc>
      </w:tr>
      <w:tr w:rsidR="00314E67" w14:paraId="412DC800"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CB4DB1F" w14:textId="77777777" w:rsidR="00314E67" w:rsidRDefault="00000000">
            <w:r>
              <w:t>real_premium</w:t>
            </w:r>
          </w:p>
        </w:tc>
        <w:tc>
          <w:tcPr>
            <w:tcW w:w="4320" w:type="dxa"/>
          </w:tcPr>
          <w:p w14:paraId="2147239B" w14:textId="77777777" w:rsidR="00314E67" w:rsidRDefault="00000000">
            <w:pPr>
              <w:cnfStyle w:val="000000000000" w:firstRow="0" w:lastRow="0" w:firstColumn="0" w:lastColumn="0" w:oddVBand="0" w:evenVBand="0" w:oddHBand="0" w:evenHBand="0" w:firstRowFirstColumn="0" w:firstRowLastColumn="0" w:lastRowFirstColumn="0" w:lastRowLastColumn="0"/>
            </w:pPr>
            <w:r>
              <w:t>+7.70</w:t>
            </w:r>
          </w:p>
        </w:tc>
      </w:tr>
      <w:tr w:rsidR="00314E67" w14:paraId="1094BAD4"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145E87E9" w14:textId="77777777" w:rsidR="00314E67" w:rsidRDefault="00000000">
            <w:r>
              <w:t>population growth</w:t>
            </w:r>
          </w:p>
        </w:tc>
        <w:tc>
          <w:tcPr>
            <w:tcW w:w="4320" w:type="dxa"/>
          </w:tcPr>
          <w:p w14:paraId="0990BC4E" w14:textId="77777777" w:rsidR="00314E67" w:rsidRDefault="00000000">
            <w:pPr>
              <w:cnfStyle w:val="000000000000" w:firstRow="0" w:lastRow="0" w:firstColumn="0" w:lastColumn="0" w:oddVBand="0" w:evenVBand="0" w:oddHBand="0" w:evenHBand="0" w:firstRowFirstColumn="0" w:firstRowLastColumn="0" w:lastRowFirstColumn="0" w:lastRowLastColumn="0"/>
            </w:pPr>
            <w:r>
              <w:t>+3.66</w:t>
            </w:r>
          </w:p>
        </w:tc>
      </w:tr>
      <w:tr w:rsidR="00314E67" w14:paraId="5FB13878"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34D01D39" w14:textId="77777777" w:rsidR="00314E67" w:rsidRDefault="00000000">
            <w:r>
              <w:t>fdi_pct_gdp</w:t>
            </w:r>
          </w:p>
        </w:tc>
        <w:tc>
          <w:tcPr>
            <w:tcW w:w="4320" w:type="dxa"/>
          </w:tcPr>
          <w:p w14:paraId="2EFDF51D" w14:textId="77777777" w:rsidR="00314E67" w:rsidRDefault="00000000">
            <w:pPr>
              <w:cnfStyle w:val="000000000000" w:firstRow="0" w:lastRow="0" w:firstColumn="0" w:lastColumn="0" w:oddVBand="0" w:evenVBand="0" w:oddHBand="0" w:evenHBand="0" w:firstRowFirstColumn="0" w:firstRowLastColumn="0" w:lastRowFirstColumn="0" w:lastRowLastColumn="0"/>
            </w:pPr>
            <w:r>
              <w:t>+3.13</w:t>
            </w:r>
          </w:p>
        </w:tc>
      </w:tr>
      <w:tr w:rsidR="00314E67" w14:paraId="5D2B8A43"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D032C1" w14:textId="77777777" w:rsidR="00314E67" w:rsidRDefault="00000000">
            <w:r>
              <w:t>exports_pct</w:t>
            </w:r>
          </w:p>
        </w:tc>
        <w:tc>
          <w:tcPr>
            <w:tcW w:w="4320" w:type="dxa"/>
          </w:tcPr>
          <w:p w14:paraId="4A37E3D0" w14:textId="77777777" w:rsidR="00314E67" w:rsidRDefault="00000000">
            <w:pPr>
              <w:cnfStyle w:val="000000000000" w:firstRow="0" w:lastRow="0" w:firstColumn="0" w:lastColumn="0" w:oddVBand="0" w:evenVBand="0" w:oddHBand="0" w:evenHBand="0" w:firstRowFirstColumn="0" w:firstRowLastColumn="0" w:lastRowFirstColumn="0" w:lastRowLastColumn="0"/>
            </w:pPr>
            <w:r>
              <w:t>+1.48</w:t>
            </w:r>
          </w:p>
        </w:tc>
      </w:tr>
      <w:tr w:rsidR="00314E67" w14:paraId="6042171F"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A64152A" w14:textId="77777777" w:rsidR="00314E67" w:rsidRDefault="00000000">
            <w:r>
              <w:t>inflation_gd</w:t>
            </w:r>
          </w:p>
        </w:tc>
        <w:tc>
          <w:tcPr>
            <w:tcW w:w="4320" w:type="dxa"/>
          </w:tcPr>
          <w:p w14:paraId="1C8CCA85" w14:textId="77777777" w:rsidR="00314E67" w:rsidRDefault="00000000">
            <w:pPr>
              <w:cnfStyle w:val="000000000000" w:firstRow="0" w:lastRow="0" w:firstColumn="0" w:lastColumn="0" w:oddVBand="0" w:evenVBand="0" w:oddHBand="0" w:evenHBand="0" w:firstRowFirstColumn="0" w:firstRowLastColumn="0" w:lastRowFirstColumn="0" w:lastRowLastColumn="0"/>
            </w:pPr>
            <w:r>
              <w:t>+1.79</w:t>
            </w:r>
          </w:p>
        </w:tc>
      </w:tr>
      <w:tr w:rsidR="00314E67" w14:paraId="41A7BAE1"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627DF30D" w14:textId="77777777" w:rsidR="00314E67" w:rsidRDefault="00000000">
            <w:r>
              <w:t>unemployment rate</w:t>
            </w:r>
          </w:p>
        </w:tc>
        <w:tc>
          <w:tcPr>
            <w:tcW w:w="4320" w:type="dxa"/>
          </w:tcPr>
          <w:p w14:paraId="14E21E0E" w14:textId="77777777" w:rsidR="00314E67" w:rsidRDefault="00000000">
            <w:pPr>
              <w:cnfStyle w:val="000000000000" w:firstRow="0" w:lastRow="0" w:firstColumn="0" w:lastColumn="0" w:oddVBand="0" w:evenVBand="0" w:oddHBand="0" w:evenHBand="0" w:firstRowFirstColumn="0" w:firstRowLastColumn="0" w:lastRowFirstColumn="0" w:lastRowLastColumn="0"/>
            </w:pPr>
            <w:r>
              <w:t>-0.34</w:t>
            </w:r>
          </w:p>
        </w:tc>
      </w:tr>
      <w:tr w:rsidR="00314E67" w14:paraId="7CBAFEEB"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5AB921A1" w14:textId="77777777" w:rsidR="00314E67" w:rsidRDefault="00000000">
            <w:r>
              <w:t>net_exports</w:t>
            </w:r>
          </w:p>
        </w:tc>
        <w:tc>
          <w:tcPr>
            <w:tcW w:w="4320" w:type="dxa"/>
          </w:tcPr>
          <w:p w14:paraId="0B4BF9CE" w14:textId="77777777" w:rsidR="00314E67" w:rsidRDefault="00000000">
            <w:pPr>
              <w:cnfStyle w:val="000000000000" w:firstRow="0" w:lastRow="0" w:firstColumn="0" w:lastColumn="0" w:oddVBand="0" w:evenVBand="0" w:oddHBand="0" w:evenHBand="0" w:firstRowFirstColumn="0" w:firstRowLastColumn="0" w:lastRowFirstColumn="0" w:lastRowLastColumn="0"/>
            </w:pPr>
            <w:r>
              <w:t>-1.97</w:t>
            </w:r>
          </w:p>
        </w:tc>
      </w:tr>
      <w:tr w:rsidR="00314E67" w14:paraId="391D8932"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2CD26838" w14:textId="77777777" w:rsidR="00314E67" w:rsidRDefault="00000000">
            <w:r>
              <w:t>gross_investment</w:t>
            </w:r>
          </w:p>
        </w:tc>
        <w:tc>
          <w:tcPr>
            <w:tcW w:w="4320" w:type="dxa"/>
          </w:tcPr>
          <w:p w14:paraId="1EF50716" w14:textId="77777777" w:rsidR="00314E67" w:rsidRDefault="00000000">
            <w:pPr>
              <w:cnfStyle w:val="000000000000" w:firstRow="0" w:lastRow="0" w:firstColumn="0" w:lastColumn="0" w:oddVBand="0" w:evenVBand="0" w:oddHBand="0" w:evenHBand="0" w:firstRowFirstColumn="0" w:firstRowLastColumn="0" w:lastRowFirstColumn="0" w:lastRowLastColumn="0"/>
            </w:pPr>
            <w:r>
              <w:t>-3.86</w:t>
            </w:r>
          </w:p>
        </w:tc>
      </w:tr>
    </w:tbl>
    <w:p w14:paraId="3D251177" w14:textId="77777777" w:rsidR="00314E67" w:rsidRDefault="00314E67"/>
    <w:p w14:paraId="521BD4F3" w14:textId="77777777" w:rsidR="00314E67" w:rsidRDefault="00000000">
      <w:pPr>
        <w:rPr>
          <w:b/>
        </w:rPr>
      </w:pPr>
      <w:r>
        <w:rPr>
          <w:b/>
        </w:rPr>
        <w:t>Discussion:</w:t>
      </w:r>
    </w:p>
    <w:p w14:paraId="10C55C80" w14:textId="77777777" w:rsidR="00314E67" w:rsidRDefault="00314E67">
      <w:pPr>
        <w:rPr>
          <w:b/>
        </w:rPr>
      </w:pPr>
    </w:p>
    <w:p w14:paraId="7E7A5564" w14:textId="77777777" w:rsidR="00314E67" w:rsidRDefault="00000000">
      <w:r>
        <w:t>Lasso Regression achieved the highest test R-squared of 0.4974, followed closely by Ridge (0.4912) and Linear Regression (0.4868). The differences are marginal, suggesting the three linear models capture similar relationships. Random Forest underperformed significantly (test R-squared = 0.3268), likely due to the small sample size (35 observations) - ensemble tree methods require more data to generalize well. Lasso's slight advantage comes from its ability to shrink irrelevant coefficients to zero, effectively performing feature selection. The top positive drivers of GDP growth according to Lasso are real_premium (+7.70), population growth (+3.66), FDI (+3.13), and inflation (+1.79). The largest negative driver is gross investment (-3.86), followed by net_exports (-1.97). The overall R-squared of ~0.50 indicates the model explains about half the variance in GDP growth - moderate explanatory power that suggests important omitted variables (e.g., institutional quality, infrastructure, external demand) also play a role.</w:t>
      </w:r>
    </w:p>
    <w:p w14:paraId="362AD4B1" w14:textId="77777777" w:rsidR="00314E67" w:rsidRDefault="00000000">
      <w:pPr>
        <w:pStyle w:val="Heading1"/>
        <w:rPr>
          <w:sz w:val="22"/>
          <w:szCs w:val="22"/>
        </w:rPr>
      </w:pPr>
      <w:r>
        <w:rPr>
          <w:sz w:val="22"/>
          <w:szCs w:val="22"/>
        </w:rPr>
        <w:t>RO5: To determine the most suitable regression model for the dataset</w:t>
      </w:r>
    </w:p>
    <w:p w14:paraId="242E4B6A" w14:textId="77777777" w:rsidR="00314E67" w:rsidRDefault="00000000">
      <w:pPr>
        <w:pStyle w:val="Heading2"/>
        <w:rPr>
          <w:sz w:val="22"/>
          <w:szCs w:val="22"/>
        </w:rPr>
      </w:pPr>
      <w:r>
        <w:rPr>
          <w:sz w:val="22"/>
          <w:szCs w:val="22"/>
        </w:rPr>
        <w:t>RQ5: What insights can be obtained regarding the causes and effects of slow GDP growth in Cambodia?</w:t>
      </w:r>
    </w:p>
    <w:p w14:paraId="1F0FF56E" w14:textId="77777777" w:rsidR="00314E67" w:rsidRDefault="00000000">
      <w:pPr>
        <w:rPr>
          <w:b/>
        </w:rPr>
      </w:pPr>
      <w:r>
        <w:rPr>
          <w:b/>
        </w:rPr>
        <w:t>Result - Periods of slow GDP growth (&lt; 4%):</w:t>
      </w:r>
    </w:p>
    <w:p w14:paraId="42474139" w14:textId="77777777" w:rsidR="00314E67" w:rsidRDefault="00314E67">
      <w:pPr>
        <w:rPr>
          <w:b/>
        </w:rPr>
      </w:pPr>
    </w:p>
    <w:p w14:paraId="429DED64" w14:textId="77777777" w:rsidR="00314E67" w:rsidRDefault="00000000">
      <w:r>
        <w:t>Four distinct episodes of slow or negative growth were identified:</w:t>
      </w:r>
    </w:p>
    <w:p w14:paraId="3FA8EC52" w14:textId="77777777" w:rsidR="00314E67" w:rsidRDefault="00314E67"/>
    <w:p w14:paraId="4E7EDB35" w14:textId="77777777" w:rsidR="00314E67" w:rsidRDefault="00314E67"/>
    <w:p w14:paraId="73AC5CCA" w14:textId="77777777" w:rsidR="00314E67" w:rsidRDefault="00314E67"/>
    <w:tbl>
      <w:tblPr>
        <w:tblStyle w:val="LightGrid-Accent1"/>
        <w:tblW w:w="0" w:type="auto"/>
        <w:jc w:val="center"/>
        <w:tblLook w:val="04A0" w:firstRow="1" w:lastRow="0" w:firstColumn="1" w:lastColumn="0" w:noHBand="0" w:noVBand="1"/>
      </w:tblPr>
      <w:tblGrid>
        <w:gridCol w:w="2814"/>
        <w:gridCol w:w="2822"/>
        <w:gridCol w:w="2847"/>
      </w:tblGrid>
      <w:tr w:rsidR="00314E67" w14:paraId="4274A15B"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7097BC" w14:textId="77777777" w:rsidR="00314E67" w:rsidRDefault="00000000">
            <w:r>
              <w:t>Year</w:t>
            </w:r>
          </w:p>
        </w:tc>
        <w:tc>
          <w:tcPr>
            <w:tcW w:w="2880" w:type="dxa"/>
          </w:tcPr>
          <w:p w14:paraId="1879E5EF" w14:textId="77777777" w:rsidR="00314E67" w:rsidRDefault="00000000">
            <w:pPr>
              <w:cnfStyle w:val="100000000000" w:firstRow="1" w:lastRow="0" w:firstColumn="0" w:lastColumn="0" w:oddVBand="0" w:evenVBand="0" w:oddHBand="0" w:evenHBand="0" w:firstRowFirstColumn="0" w:firstRowLastColumn="0" w:lastRowFirstColumn="0" w:lastRowLastColumn="0"/>
            </w:pPr>
            <w:r>
              <w:t>GDP Growth</w:t>
            </w:r>
          </w:p>
        </w:tc>
        <w:tc>
          <w:tcPr>
            <w:tcW w:w="2880" w:type="dxa"/>
          </w:tcPr>
          <w:p w14:paraId="1776C51D" w14:textId="77777777" w:rsidR="00314E67" w:rsidRDefault="00000000">
            <w:pPr>
              <w:cnfStyle w:val="100000000000" w:firstRow="1" w:lastRow="0" w:firstColumn="0" w:lastColumn="0" w:oddVBand="0" w:evenVBand="0" w:oddHBand="0" w:evenHBand="0" w:firstRowFirstColumn="0" w:firstRowLastColumn="0" w:lastRowFirstColumn="0" w:lastRowLastColumn="0"/>
            </w:pPr>
            <w:r>
              <w:t>Primary Cause</w:t>
            </w:r>
          </w:p>
        </w:tc>
      </w:tr>
      <w:tr w:rsidR="00314E67" w14:paraId="37057E8D"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F5F0644" w14:textId="77777777" w:rsidR="00314E67" w:rsidRDefault="00000000">
            <w:r>
              <w:t>1990</w:t>
            </w:r>
          </w:p>
        </w:tc>
        <w:tc>
          <w:tcPr>
            <w:tcW w:w="2880" w:type="dxa"/>
          </w:tcPr>
          <w:p w14:paraId="4B8008E3" w14:textId="77777777" w:rsidR="00314E67" w:rsidRDefault="00000000">
            <w:pPr>
              <w:cnfStyle w:val="000000000000" w:firstRow="0" w:lastRow="0" w:firstColumn="0" w:lastColumn="0" w:oddVBand="0" w:evenVBand="0" w:oddHBand="0" w:evenHBand="0" w:firstRowFirstColumn="0" w:firstRowLastColumn="0" w:lastRowFirstColumn="0" w:lastRowLastColumn="0"/>
            </w:pPr>
            <w:r>
              <w:t>1.16%</w:t>
            </w:r>
          </w:p>
        </w:tc>
        <w:tc>
          <w:tcPr>
            <w:tcW w:w="2880" w:type="dxa"/>
          </w:tcPr>
          <w:p w14:paraId="09E1D06C" w14:textId="77777777" w:rsidR="00314E67" w:rsidRDefault="00000000">
            <w:pPr>
              <w:cnfStyle w:val="000000000000" w:firstRow="0" w:lastRow="0" w:firstColumn="0" w:lastColumn="0" w:oddVBand="0" w:evenVBand="0" w:oddHBand="0" w:evenHBand="0" w:firstRowFirstColumn="0" w:firstRowLastColumn="0" w:lastRowFirstColumn="0" w:lastRowLastColumn="0"/>
            </w:pPr>
            <w:r>
              <w:t>Post-conflict instability + hyperinflation (145%)</w:t>
            </w:r>
          </w:p>
        </w:tc>
      </w:tr>
      <w:tr w:rsidR="00314E67" w14:paraId="15F31B97"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8D4AD5A" w14:textId="77777777" w:rsidR="00314E67" w:rsidRDefault="00000000">
            <w:r>
              <w:t>2009</w:t>
            </w:r>
          </w:p>
        </w:tc>
        <w:tc>
          <w:tcPr>
            <w:tcW w:w="2880" w:type="dxa"/>
          </w:tcPr>
          <w:p w14:paraId="420B567F" w14:textId="77777777" w:rsidR="00314E67" w:rsidRDefault="00000000">
            <w:pPr>
              <w:cnfStyle w:val="000000000000" w:firstRow="0" w:lastRow="0" w:firstColumn="0" w:lastColumn="0" w:oddVBand="0" w:evenVBand="0" w:oddHBand="0" w:evenHBand="0" w:firstRowFirstColumn="0" w:firstRowLastColumn="0" w:lastRowFirstColumn="0" w:lastRowLastColumn="0"/>
            </w:pPr>
            <w:r>
              <w:t>0.10%</w:t>
            </w:r>
          </w:p>
        </w:tc>
        <w:tc>
          <w:tcPr>
            <w:tcW w:w="2880" w:type="dxa"/>
          </w:tcPr>
          <w:p w14:paraId="48022931" w14:textId="77777777" w:rsidR="00314E67" w:rsidRDefault="00000000">
            <w:pPr>
              <w:cnfStyle w:val="000000000000" w:firstRow="0" w:lastRow="0" w:firstColumn="0" w:lastColumn="0" w:oddVBand="0" w:evenVBand="0" w:oddHBand="0" w:evenHBand="0" w:firstRowFirstColumn="0" w:firstRowLastColumn="0" w:lastRowFirstColumn="0" w:lastRowLastColumn="0"/>
            </w:pPr>
            <w:r>
              <w:t>Global Financial Crisis - collapse in external demand</w:t>
            </w:r>
          </w:p>
        </w:tc>
      </w:tr>
      <w:tr w:rsidR="00314E67" w14:paraId="15DD4CF2"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A761AB7" w14:textId="77777777" w:rsidR="00314E67" w:rsidRDefault="00000000">
            <w:r>
              <w:t>2020</w:t>
            </w:r>
          </w:p>
        </w:tc>
        <w:tc>
          <w:tcPr>
            <w:tcW w:w="2880" w:type="dxa"/>
          </w:tcPr>
          <w:p w14:paraId="0FEBB46D" w14:textId="77777777" w:rsidR="00314E67" w:rsidRDefault="00000000">
            <w:pPr>
              <w:cnfStyle w:val="000000000000" w:firstRow="0" w:lastRow="0" w:firstColumn="0" w:lastColumn="0" w:oddVBand="0" w:evenVBand="0" w:oddHBand="0" w:evenHBand="0" w:firstRowFirstColumn="0" w:firstRowLastColumn="0" w:lastRowFirstColumn="0" w:lastRowLastColumn="0"/>
            </w:pPr>
            <w:r>
              <w:t>-3.56%</w:t>
            </w:r>
          </w:p>
        </w:tc>
        <w:tc>
          <w:tcPr>
            <w:tcW w:w="2880" w:type="dxa"/>
          </w:tcPr>
          <w:p w14:paraId="60757A2F" w14:textId="77777777" w:rsidR="00314E67" w:rsidRDefault="00000000">
            <w:pPr>
              <w:cnfStyle w:val="000000000000" w:firstRow="0" w:lastRow="0" w:firstColumn="0" w:lastColumn="0" w:oddVBand="0" w:evenVBand="0" w:oddHBand="0" w:evenHBand="0" w:firstRowFirstColumn="0" w:firstRowLastColumn="0" w:lastRowFirstColumn="0" w:lastRowLastColumn="0"/>
            </w:pPr>
            <w:r>
              <w:t>COVID-19 pandemic - tourism/garment shutdown</w:t>
            </w:r>
          </w:p>
        </w:tc>
      </w:tr>
      <w:tr w:rsidR="00314E67" w14:paraId="59FDA039"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5DD9AA8" w14:textId="77777777" w:rsidR="00314E67" w:rsidRDefault="00000000">
            <w:r>
              <w:t>2021</w:t>
            </w:r>
          </w:p>
        </w:tc>
        <w:tc>
          <w:tcPr>
            <w:tcW w:w="2880" w:type="dxa"/>
          </w:tcPr>
          <w:p w14:paraId="01830876" w14:textId="77777777" w:rsidR="00314E67" w:rsidRDefault="00000000">
            <w:pPr>
              <w:cnfStyle w:val="000000000000" w:firstRow="0" w:lastRow="0" w:firstColumn="0" w:lastColumn="0" w:oddVBand="0" w:evenVBand="0" w:oddHBand="0" w:evenHBand="0" w:firstRowFirstColumn="0" w:firstRowLastColumn="0" w:lastRowFirstColumn="0" w:lastRowLastColumn="0"/>
            </w:pPr>
            <w:r>
              <w:t>3.09%</w:t>
            </w:r>
          </w:p>
        </w:tc>
        <w:tc>
          <w:tcPr>
            <w:tcW w:w="2880" w:type="dxa"/>
          </w:tcPr>
          <w:p w14:paraId="1AE839C9" w14:textId="77777777" w:rsidR="00314E67" w:rsidRDefault="00000000">
            <w:pPr>
              <w:cnfStyle w:val="000000000000" w:firstRow="0" w:lastRow="0" w:firstColumn="0" w:lastColumn="0" w:oddVBand="0" w:evenVBand="0" w:oddHBand="0" w:evenHBand="0" w:firstRowFirstColumn="0" w:firstRowLastColumn="0" w:lastRowFirstColumn="0" w:lastRowLastColumn="0"/>
            </w:pPr>
            <w:r>
              <w:t>Incomplete pandemic recovery</w:t>
            </w:r>
          </w:p>
        </w:tc>
      </w:tr>
    </w:tbl>
    <w:p w14:paraId="71F885A1" w14:textId="77777777" w:rsidR="00314E67" w:rsidRDefault="00314E67"/>
    <w:p w14:paraId="662B6E9E" w14:textId="77777777" w:rsidR="00314E67" w:rsidRDefault="00000000">
      <w:pPr>
        <w:rPr>
          <w:b/>
        </w:rPr>
      </w:pPr>
      <w:r>
        <w:rPr>
          <w:b/>
        </w:rPr>
        <w:t>Comparative characteristics across slow-growth years:</w:t>
      </w:r>
    </w:p>
    <w:p w14:paraId="2B3F8A6D" w14:textId="77777777" w:rsidR="00314E67" w:rsidRDefault="00314E67">
      <w:pPr>
        <w:rPr>
          <w:b/>
        </w:rPr>
      </w:pPr>
    </w:p>
    <w:tbl>
      <w:tblPr>
        <w:tblStyle w:val="LightGrid-Accent1"/>
        <w:tblW w:w="0" w:type="auto"/>
        <w:jc w:val="center"/>
        <w:tblLook w:val="04A0" w:firstRow="1" w:lastRow="0" w:firstColumn="1" w:lastColumn="0" w:noHBand="0" w:noVBand="1"/>
      </w:tblPr>
      <w:tblGrid>
        <w:gridCol w:w="1487"/>
        <w:gridCol w:w="1666"/>
        <w:gridCol w:w="2099"/>
        <w:gridCol w:w="1519"/>
        <w:gridCol w:w="1712"/>
      </w:tblGrid>
      <w:tr w:rsidR="00314E67" w14:paraId="45BCEE63" w14:textId="77777777" w:rsidTr="00314E6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AE4812" w14:textId="77777777" w:rsidR="00314E67" w:rsidRDefault="00000000">
            <w:r>
              <w:t>Year</w:t>
            </w:r>
          </w:p>
        </w:tc>
        <w:tc>
          <w:tcPr>
            <w:tcW w:w="1728" w:type="dxa"/>
          </w:tcPr>
          <w:p w14:paraId="1C0FB787" w14:textId="77777777" w:rsidR="00314E67" w:rsidRDefault="00000000">
            <w:pPr>
              <w:cnfStyle w:val="100000000000" w:firstRow="1" w:lastRow="0" w:firstColumn="0" w:lastColumn="0" w:oddVBand="0" w:evenVBand="0" w:oddHBand="0" w:evenHBand="0" w:firstRowFirstColumn="0" w:firstRowLastColumn="0" w:lastRowFirstColumn="0" w:lastRowLastColumn="0"/>
            </w:pPr>
            <w:r>
              <w:t>inflation_gd</w:t>
            </w:r>
          </w:p>
        </w:tc>
        <w:tc>
          <w:tcPr>
            <w:tcW w:w="1728" w:type="dxa"/>
          </w:tcPr>
          <w:p w14:paraId="2200797B" w14:textId="77777777" w:rsidR="00314E67" w:rsidRDefault="00000000">
            <w:pPr>
              <w:cnfStyle w:val="100000000000" w:firstRow="1" w:lastRow="0" w:firstColumn="0" w:lastColumn="0" w:oddVBand="0" w:evenVBand="0" w:oddHBand="0" w:evenHBand="0" w:firstRowFirstColumn="0" w:firstRowLastColumn="0" w:lastRowFirstColumn="0" w:lastRowLastColumn="0"/>
            </w:pPr>
            <w:r>
              <w:t>gross_investment</w:t>
            </w:r>
          </w:p>
        </w:tc>
        <w:tc>
          <w:tcPr>
            <w:tcW w:w="1728" w:type="dxa"/>
          </w:tcPr>
          <w:p w14:paraId="07412972" w14:textId="77777777" w:rsidR="00314E67" w:rsidRDefault="00000000">
            <w:pPr>
              <w:cnfStyle w:val="100000000000" w:firstRow="1" w:lastRow="0" w:firstColumn="0" w:lastColumn="0" w:oddVBand="0" w:evenVBand="0" w:oddHBand="0" w:evenHBand="0" w:firstRowFirstColumn="0" w:firstRowLastColumn="0" w:lastRowFirstColumn="0" w:lastRowLastColumn="0"/>
            </w:pPr>
            <w:r>
              <w:t>FDI</w:t>
            </w:r>
          </w:p>
        </w:tc>
        <w:tc>
          <w:tcPr>
            <w:tcW w:w="1728" w:type="dxa"/>
          </w:tcPr>
          <w:p w14:paraId="69DFB202" w14:textId="77777777" w:rsidR="00314E67" w:rsidRDefault="00000000">
            <w:pPr>
              <w:cnfStyle w:val="100000000000" w:firstRow="1" w:lastRow="0" w:firstColumn="0" w:lastColumn="0" w:oddVBand="0" w:evenVBand="0" w:oddHBand="0" w:evenHBand="0" w:firstRowFirstColumn="0" w:firstRowLastColumn="0" w:lastRowFirstColumn="0" w:lastRowLastColumn="0"/>
            </w:pPr>
            <w:r>
              <w:t>real_premium</w:t>
            </w:r>
          </w:p>
        </w:tc>
      </w:tr>
      <w:tr w:rsidR="00314E67" w14:paraId="299D4416"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7C1228DF" w14:textId="77777777" w:rsidR="00314E67" w:rsidRDefault="00000000">
            <w:r>
              <w:t>1990</w:t>
            </w:r>
          </w:p>
        </w:tc>
        <w:tc>
          <w:tcPr>
            <w:tcW w:w="1728" w:type="dxa"/>
          </w:tcPr>
          <w:p w14:paraId="5FB6FC34" w14:textId="77777777" w:rsidR="00314E67" w:rsidRDefault="00000000">
            <w:pPr>
              <w:cnfStyle w:val="000000000000" w:firstRow="0" w:lastRow="0" w:firstColumn="0" w:lastColumn="0" w:oddVBand="0" w:evenVBand="0" w:oddHBand="0" w:evenHBand="0" w:firstRowFirstColumn="0" w:firstRowLastColumn="0" w:lastRowFirstColumn="0" w:lastRowLastColumn="0"/>
            </w:pPr>
            <w:r>
              <w:t>145.6%</w:t>
            </w:r>
          </w:p>
        </w:tc>
        <w:tc>
          <w:tcPr>
            <w:tcW w:w="1728" w:type="dxa"/>
          </w:tcPr>
          <w:p w14:paraId="09F64736" w14:textId="77777777" w:rsidR="00314E67" w:rsidRDefault="00000000">
            <w:pPr>
              <w:cnfStyle w:val="000000000000" w:firstRow="0" w:lastRow="0" w:firstColumn="0" w:lastColumn="0" w:oddVBand="0" w:evenVBand="0" w:oddHBand="0" w:evenHBand="0" w:firstRowFirstColumn="0" w:firstRowLastColumn="0" w:lastRowFirstColumn="0" w:lastRowLastColumn="0"/>
            </w:pPr>
            <w:r>
              <w:t>17.5%</w:t>
            </w:r>
          </w:p>
        </w:tc>
        <w:tc>
          <w:tcPr>
            <w:tcW w:w="1728" w:type="dxa"/>
          </w:tcPr>
          <w:p w14:paraId="4816A0CF" w14:textId="77777777" w:rsidR="00314E67" w:rsidRDefault="00000000">
            <w:pPr>
              <w:cnfStyle w:val="000000000000" w:firstRow="0" w:lastRow="0" w:firstColumn="0" w:lastColumn="0" w:oddVBand="0" w:evenVBand="0" w:oddHBand="0" w:evenHBand="0" w:firstRowFirstColumn="0" w:firstRowLastColumn="0" w:lastRowFirstColumn="0" w:lastRowLastColumn="0"/>
            </w:pPr>
            <w:r>
              <w:t>8.6%</w:t>
            </w:r>
          </w:p>
        </w:tc>
        <w:tc>
          <w:tcPr>
            <w:tcW w:w="1728" w:type="dxa"/>
          </w:tcPr>
          <w:p w14:paraId="2723F5E6" w14:textId="77777777" w:rsidR="00314E67" w:rsidRDefault="00000000">
            <w:pPr>
              <w:cnfStyle w:val="000000000000" w:firstRow="0" w:lastRow="0" w:firstColumn="0" w:lastColumn="0" w:oddVBand="0" w:evenVBand="0" w:oddHBand="0" w:evenHBand="0" w:firstRowFirstColumn="0" w:firstRowLastColumn="0" w:lastRowFirstColumn="0" w:lastRowLastColumn="0"/>
            </w:pPr>
            <w:r>
              <w:t>-58.8</w:t>
            </w:r>
          </w:p>
        </w:tc>
      </w:tr>
      <w:tr w:rsidR="00314E67" w14:paraId="051FC6B0"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1149B711" w14:textId="77777777" w:rsidR="00314E67" w:rsidRDefault="00000000">
            <w:r>
              <w:t>2009</w:t>
            </w:r>
          </w:p>
        </w:tc>
        <w:tc>
          <w:tcPr>
            <w:tcW w:w="1728" w:type="dxa"/>
          </w:tcPr>
          <w:p w14:paraId="5400CE0F" w14:textId="77777777" w:rsidR="00314E67" w:rsidRDefault="00000000">
            <w:pPr>
              <w:cnfStyle w:val="000000000000" w:firstRow="0" w:lastRow="0" w:firstColumn="0" w:lastColumn="0" w:oddVBand="0" w:evenVBand="0" w:oddHBand="0" w:evenHBand="0" w:firstRowFirstColumn="0" w:firstRowLastColumn="0" w:lastRowFirstColumn="0" w:lastRowLastColumn="0"/>
            </w:pPr>
            <w:r>
              <w:t>10.7%</w:t>
            </w:r>
          </w:p>
        </w:tc>
        <w:tc>
          <w:tcPr>
            <w:tcW w:w="1728" w:type="dxa"/>
          </w:tcPr>
          <w:p w14:paraId="3DEDE8D8" w14:textId="77777777" w:rsidR="00314E67" w:rsidRDefault="00000000">
            <w:pPr>
              <w:cnfStyle w:val="000000000000" w:firstRow="0" w:lastRow="0" w:firstColumn="0" w:lastColumn="0" w:oddVBand="0" w:evenVBand="0" w:oddHBand="0" w:evenHBand="0" w:firstRowFirstColumn="0" w:firstRowLastColumn="0" w:lastRowFirstColumn="0" w:lastRowLastColumn="0"/>
            </w:pPr>
            <w:r>
              <w:t>14.7%</w:t>
            </w:r>
          </w:p>
        </w:tc>
        <w:tc>
          <w:tcPr>
            <w:tcW w:w="1728" w:type="dxa"/>
          </w:tcPr>
          <w:p w14:paraId="6B0A86AD" w14:textId="77777777" w:rsidR="00314E67" w:rsidRDefault="00000000">
            <w:pPr>
              <w:cnfStyle w:val="000000000000" w:firstRow="0" w:lastRow="0" w:firstColumn="0" w:lastColumn="0" w:oddVBand="0" w:evenVBand="0" w:oddHBand="0" w:evenHBand="0" w:firstRowFirstColumn="0" w:firstRowLastColumn="0" w:lastRowFirstColumn="0" w:lastRowLastColumn="0"/>
            </w:pPr>
            <w:r>
              <w:t>7.0%</w:t>
            </w:r>
          </w:p>
        </w:tc>
        <w:tc>
          <w:tcPr>
            <w:tcW w:w="1728" w:type="dxa"/>
          </w:tcPr>
          <w:p w14:paraId="0DDD7D62" w14:textId="77777777" w:rsidR="00314E67" w:rsidRDefault="00000000">
            <w:pPr>
              <w:cnfStyle w:val="000000000000" w:firstRow="0" w:lastRow="0" w:firstColumn="0" w:lastColumn="0" w:oddVBand="0" w:evenVBand="0" w:oddHBand="0" w:evenHBand="0" w:firstRowFirstColumn="0" w:firstRowLastColumn="0" w:lastRowFirstColumn="0" w:lastRowLastColumn="0"/>
            </w:pPr>
            <w:r>
              <w:t>-2.8</w:t>
            </w:r>
          </w:p>
        </w:tc>
      </w:tr>
      <w:tr w:rsidR="00314E67" w14:paraId="5A4F0AF2" w14:textId="77777777" w:rsidTr="00314E67">
        <w:trPr>
          <w:jc w:val="center"/>
        </w:trPr>
        <w:tc>
          <w:tcPr>
            <w:cnfStyle w:val="001000000000" w:firstRow="0" w:lastRow="0" w:firstColumn="1" w:lastColumn="0" w:oddVBand="0" w:evenVBand="0" w:oddHBand="0" w:evenHBand="0" w:firstRowFirstColumn="0" w:firstRowLastColumn="0" w:lastRowFirstColumn="0" w:lastRowLastColumn="0"/>
            <w:tcW w:w="1728" w:type="dxa"/>
          </w:tcPr>
          <w:p w14:paraId="2F15F640" w14:textId="77777777" w:rsidR="00314E67" w:rsidRDefault="00000000">
            <w:r>
              <w:t>2020</w:t>
            </w:r>
          </w:p>
        </w:tc>
        <w:tc>
          <w:tcPr>
            <w:tcW w:w="1728" w:type="dxa"/>
          </w:tcPr>
          <w:p w14:paraId="7894C472" w14:textId="77777777" w:rsidR="00314E67" w:rsidRDefault="00000000">
            <w:pPr>
              <w:cnfStyle w:val="000000000000" w:firstRow="0" w:lastRow="0" w:firstColumn="0" w:lastColumn="0" w:oddVBand="0" w:evenVBand="0" w:oddHBand="0" w:evenHBand="0" w:firstRowFirstColumn="0" w:firstRowLastColumn="0" w:lastRowFirstColumn="0" w:lastRowLastColumn="0"/>
            </w:pPr>
            <w:r>
              <w:t>-0.8%</w:t>
            </w:r>
          </w:p>
        </w:tc>
        <w:tc>
          <w:tcPr>
            <w:tcW w:w="1728" w:type="dxa"/>
          </w:tcPr>
          <w:p w14:paraId="7E414963" w14:textId="77777777" w:rsidR="00314E67" w:rsidRDefault="00000000">
            <w:pPr>
              <w:cnfStyle w:val="000000000000" w:firstRow="0" w:lastRow="0" w:firstColumn="0" w:lastColumn="0" w:oddVBand="0" w:evenVBand="0" w:oddHBand="0" w:evenHBand="0" w:firstRowFirstColumn="0" w:firstRowLastColumn="0" w:lastRowFirstColumn="0" w:lastRowLastColumn="0"/>
            </w:pPr>
            <w:r>
              <w:t>23.3%</w:t>
            </w:r>
          </w:p>
        </w:tc>
        <w:tc>
          <w:tcPr>
            <w:tcW w:w="1728" w:type="dxa"/>
          </w:tcPr>
          <w:p w14:paraId="29A96476" w14:textId="77777777" w:rsidR="00314E67" w:rsidRDefault="00000000">
            <w:pPr>
              <w:cnfStyle w:val="000000000000" w:firstRow="0" w:lastRow="0" w:firstColumn="0" w:lastColumn="0" w:oddVBand="0" w:evenVBand="0" w:oddHBand="0" w:evenHBand="0" w:firstRowFirstColumn="0" w:firstRowLastColumn="0" w:lastRowFirstColumn="0" w:lastRowLastColumn="0"/>
            </w:pPr>
            <w:r>
              <w:t>10.4%</w:t>
            </w:r>
          </w:p>
        </w:tc>
        <w:tc>
          <w:tcPr>
            <w:tcW w:w="1728" w:type="dxa"/>
          </w:tcPr>
          <w:p w14:paraId="627FC254" w14:textId="77777777" w:rsidR="00314E67" w:rsidRDefault="00000000">
            <w:pPr>
              <w:cnfStyle w:val="000000000000" w:firstRow="0" w:lastRow="0" w:firstColumn="0" w:lastColumn="0" w:oddVBand="0" w:evenVBand="0" w:oddHBand="0" w:evenHBand="0" w:firstRowFirstColumn="0" w:firstRowLastColumn="0" w:lastRowFirstColumn="0" w:lastRowLastColumn="0"/>
            </w:pPr>
            <w:r>
              <w:t>-2.8</w:t>
            </w:r>
          </w:p>
        </w:tc>
      </w:tr>
    </w:tbl>
    <w:p w14:paraId="2563DE7A" w14:textId="77777777" w:rsidR="00314E67" w:rsidRDefault="00314E67"/>
    <w:p w14:paraId="035AABC4" w14:textId="77777777" w:rsidR="00314E67" w:rsidRDefault="00000000">
      <w:pPr>
        <w:rPr>
          <w:b/>
        </w:rPr>
      </w:pPr>
      <w:r>
        <w:rPr>
          <w:b/>
        </w:rPr>
        <w:t>Discussion:</w:t>
      </w:r>
    </w:p>
    <w:p w14:paraId="487C2F95" w14:textId="77777777" w:rsidR="00314E67" w:rsidRDefault="00314E67">
      <w:pPr>
        <w:rPr>
          <w:b/>
        </w:rPr>
      </w:pPr>
    </w:p>
    <w:p w14:paraId="5F3A3581" w14:textId="77777777" w:rsidR="00314E67" w:rsidRDefault="00000000">
      <w:pPr>
        <w:jc w:val="both"/>
      </w:pPr>
      <w:r>
        <w:t>Two distinct types of slow-growth episodes emerge: (1) internal/crisis-driven (1990: post-conflict hyperinflation at 145%), and (2) external shock-driven (2009 Global Financial Crisis, 2020 COVID-19). The 1990 episode highlights that hyperinflation is devastating - it destroyed purchasing power and economic confidence, leading to near-zero growth. The 2009 crisis saw gross investment fall to 14.7%, confirming that capital formation collapsed with external demand. Surprisingly, in 2020, despite record-high investment (23.3%) and FDI (10.4%), GDP still contracted - proving that capital alone cannot insulate against a global pandemic shock that directly suppresses labor supply and mobility.</w:t>
      </w:r>
    </w:p>
    <w:p w14:paraId="57236F8D" w14:textId="77777777" w:rsidR="00314E67" w:rsidRDefault="00314E67"/>
    <w:p w14:paraId="057B5E53" w14:textId="77777777" w:rsidR="00314E67" w:rsidRDefault="00000000">
      <w:pPr>
        <w:rPr>
          <w:b/>
        </w:rPr>
      </w:pPr>
      <w:r>
        <w:rPr>
          <w:b/>
        </w:rPr>
        <w:t>Policy Recommendations (aligned with SDG 8):</w:t>
      </w:r>
    </w:p>
    <w:p w14:paraId="68DE516B" w14:textId="77777777" w:rsidR="00314E67" w:rsidRDefault="00314E67">
      <w:pPr>
        <w:rPr>
          <w:b/>
        </w:rPr>
      </w:pPr>
    </w:p>
    <w:p w14:paraId="33E669B6" w14:textId="77777777" w:rsidR="00314E67" w:rsidRDefault="00000000">
      <w:pPr>
        <w:jc w:val="both"/>
      </w:pPr>
      <w:r>
        <w:rPr>
          <w:b/>
        </w:rPr>
        <w:t xml:space="preserve">1. Maintain price stability: </w:t>
      </w:r>
      <w:r>
        <w:t>Inflation control is foundational - the 1990 episode shows how hyperinflation destroys growth.</w:t>
      </w:r>
    </w:p>
    <w:p w14:paraId="29723DEA" w14:textId="77777777" w:rsidR="00314E67" w:rsidRDefault="00000000">
      <w:pPr>
        <w:jc w:val="both"/>
      </w:pPr>
      <w:r>
        <w:rPr>
          <w:b/>
        </w:rPr>
        <w:t xml:space="preserve">2. Improve investment efficiency: </w:t>
      </w:r>
      <w:r>
        <w:t>The negative coefficient of gross investment suggests diminishing returns; policy should focus on investment quality (infrastructure, human capital), not just quantity.</w:t>
      </w:r>
    </w:p>
    <w:p w14:paraId="1EBE08D6" w14:textId="77777777" w:rsidR="00314E67" w:rsidRDefault="00000000">
      <w:pPr>
        <w:jc w:val="both"/>
      </w:pPr>
      <w:r>
        <w:rPr>
          <w:b/>
        </w:rPr>
        <w:t xml:space="preserve">3. Diversify the economy: </w:t>
      </w:r>
      <w:r>
        <w:t>Over-dependence on garments, tourism, and FDI makes Cambodia vulnerable to external demand shocks (2009) and mobility shocks (2020).</w:t>
      </w:r>
    </w:p>
    <w:p w14:paraId="7B65B083" w14:textId="77777777" w:rsidR="00314E67" w:rsidRDefault="00000000">
      <w:pPr>
        <w:jc w:val="both"/>
      </w:pPr>
      <w:r>
        <w:rPr>
          <w:b/>
        </w:rPr>
        <w:t xml:space="preserve">4. Build fiscal buffers: </w:t>
      </w:r>
      <w:r>
        <w:t>Stronger fiscal space would allow counter-cyclical spending during crises, preventing GDP from falling below 4% as it did in 2009 and 2020.</w:t>
      </w:r>
    </w:p>
    <w:p w14:paraId="07318954" w14:textId="77777777" w:rsidR="00314E67" w:rsidRDefault="00000000">
      <w:pPr>
        <w:jc w:val="both"/>
      </w:pPr>
      <w:r>
        <w:rPr>
          <w:b/>
        </w:rPr>
        <w:t xml:space="preserve">5. Leverage FDI for technology transfer: </w:t>
      </w:r>
      <w:r>
        <w:t>FDI shows a positive coefficient (+3.13); policies should target FDI that brings higher productivity and technology spillovers rather than low-value assembly.</w:t>
      </w:r>
    </w:p>
    <w:p w14:paraId="126E192F" w14:textId="77777777" w:rsidR="00314E67" w:rsidRDefault="00314E67"/>
    <w:p w14:paraId="24C8E65C" w14:textId="77777777" w:rsidR="00314E67" w:rsidRDefault="00000000">
      <w:pPr>
        <w:pStyle w:val="Heading1"/>
        <w:rPr>
          <w:color w:val="365F91" w:themeColor="accent1" w:themeShade="BF"/>
          <w:sz w:val="24"/>
          <w:szCs w:val="24"/>
        </w:rPr>
      </w:pPr>
      <w:bookmarkStart w:id="22" w:name="sec-7-limitations"/>
      <w:r>
        <w:t xml:space="preserve">          </w:t>
      </w:r>
      <w:bookmarkEnd w:id="22"/>
      <w:r>
        <w:rPr>
          <w:color w:val="365F91" w:themeColor="accent1" w:themeShade="BF"/>
          <w:sz w:val="24"/>
          <w:szCs w:val="24"/>
        </w:rPr>
        <w:t>7. Limitations and Future Work</w:t>
      </w:r>
    </w:p>
    <w:p w14:paraId="4A3A196F" w14:textId="77777777" w:rsidR="00314E67" w:rsidRDefault="00314E67">
      <w:pPr>
        <w:rPr>
          <w:b/>
          <w:bCs/>
          <w:color w:val="365F91" w:themeColor="accent1" w:themeShade="BF"/>
          <w:sz w:val="24"/>
          <w:szCs w:val="24"/>
        </w:rPr>
      </w:pPr>
    </w:p>
    <w:p w14:paraId="31EE9223" w14:textId="77777777" w:rsidR="00314E67" w:rsidRDefault="00000000">
      <w:pPr>
        <w:jc w:val="both"/>
      </w:pPr>
      <w:r>
        <w:rPr>
          <w:b/>
          <w:bCs/>
          <w:color w:val="365F91" w:themeColor="accent1" w:themeShade="BF"/>
          <w:sz w:val="24"/>
          <w:szCs w:val="24"/>
        </w:rPr>
        <w:tab/>
        <w:t xml:space="preserve">   </w:t>
      </w:r>
      <w:r>
        <w:t>While our current implementation uses exact solvers—which are highly effective for this dataset size—we recognize that as we expand the time series or include more granular indicators, the risk of overfitting increases. Future iterations of this project could:</w:t>
      </w:r>
    </w:p>
    <w:p w14:paraId="28692840" w14:textId="77777777" w:rsidR="00314E67" w:rsidRDefault="00314E67">
      <w:pPr>
        <w:jc w:val="both"/>
      </w:pPr>
    </w:p>
    <w:p w14:paraId="6539E96D" w14:textId="77777777" w:rsidR="00314E67" w:rsidRDefault="00000000">
      <w:pPr>
        <w:pStyle w:val="ListParagraph"/>
        <w:numPr>
          <w:ilvl w:val="0"/>
          <w:numId w:val="3"/>
        </w:numPr>
        <w:jc w:val="both"/>
        <w:rPr>
          <w:b/>
          <w:bCs/>
          <w:color w:val="365F91" w:themeColor="accent1" w:themeShade="BF"/>
          <w:sz w:val="24"/>
          <w:szCs w:val="24"/>
        </w:rPr>
      </w:pPr>
      <w:r>
        <w:rPr>
          <w:b/>
          <w:bCs/>
        </w:rPr>
        <w:t>Incorporate Lagged Variables:</w:t>
      </w:r>
      <w:r>
        <w:t xml:space="preserve"> Since economic growth often depends on previous years' investments, introducing time-lagged features could improve accuracy.</w:t>
      </w:r>
    </w:p>
    <w:p w14:paraId="79BCF40E" w14:textId="77777777" w:rsidR="00314E67" w:rsidRDefault="00314E67">
      <w:pPr>
        <w:pStyle w:val="ListParagraph"/>
        <w:ind w:left="1656"/>
        <w:jc w:val="both"/>
        <w:rPr>
          <w:b/>
          <w:bCs/>
          <w:color w:val="365F91" w:themeColor="accent1" w:themeShade="BF"/>
          <w:sz w:val="24"/>
          <w:szCs w:val="24"/>
        </w:rPr>
      </w:pPr>
    </w:p>
    <w:p w14:paraId="60EBA7C8" w14:textId="77777777" w:rsidR="00314E67" w:rsidRDefault="00000000">
      <w:pPr>
        <w:pStyle w:val="ListParagraph"/>
        <w:numPr>
          <w:ilvl w:val="0"/>
          <w:numId w:val="3"/>
        </w:numPr>
        <w:jc w:val="both"/>
        <w:rPr>
          <w:b/>
          <w:bCs/>
          <w:color w:val="365F91" w:themeColor="accent1" w:themeShade="BF"/>
          <w:sz w:val="24"/>
          <w:szCs w:val="24"/>
        </w:rPr>
      </w:pPr>
      <w:r>
        <w:rPr>
          <w:b/>
          <w:bCs/>
        </w:rPr>
        <w:t>Explore Non-linear Models:</w:t>
      </w:r>
      <w:r>
        <w:t xml:space="preserve"> Moving toward tree-based models (like Random Forest or Gradient Boosting) may better capture the complex, non-linear relationships inherent in economic cycles."</w:t>
      </w:r>
    </w:p>
    <w:p w14:paraId="4B9096AC" w14:textId="77777777" w:rsidR="00314E67" w:rsidRDefault="00314E67"/>
    <w:p w14:paraId="04F1175C" w14:textId="77777777" w:rsidR="00314E67" w:rsidRDefault="00000000">
      <w:pPr>
        <w:pStyle w:val="Heading1"/>
        <w:rPr>
          <w:color w:val="365F91" w:themeColor="accent1" w:themeShade="BF"/>
          <w:sz w:val="24"/>
          <w:szCs w:val="24"/>
        </w:rPr>
      </w:pPr>
      <w:bookmarkStart w:id="23" w:name="sec-8-conclusion"/>
      <w:r>
        <w:t xml:space="preserve">            </w:t>
      </w:r>
      <w:bookmarkEnd w:id="23"/>
      <w:r>
        <w:rPr>
          <w:color w:val="365F91" w:themeColor="accent1" w:themeShade="BF"/>
          <w:sz w:val="24"/>
          <w:szCs w:val="24"/>
        </w:rPr>
        <w:t>8.  Conclusion</w:t>
      </w:r>
    </w:p>
    <w:p w14:paraId="3019D3DA" w14:textId="77777777" w:rsidR="00314E67" w:rsidRDefault="00000000">
      <w:pPr>
        <w:pStyle w:val="NormalWeb"/>
        <w:jc w:val="both"/>
        <w:rPr>
          <w:rFonts w:ascii="Arial" w:hAnsi="Arial" w:cs="Arial"/>
          <w:sz w:val="22"/>
          <w:szCs w:val="22"/>
        </w:rPr>
      </w:pPr>
      <w:r>
        <w:rPr>
          <w:rFonts w:ascii="Arial" w:hAnsi="Arial" w:cs="Arial"/>
          <w:b/>
          <w:bCs/>
          <w:color w:val="365F91" w:themeColor="accent1" w:themeShade="BF"/>
          <w:sz w:val="22"/>
          <w:szCs w:val="22"/>
        </w:rPr>
        <w:t xml:space="preserve">                 </w:t>
      </w:r>
      <w:r>
        <w:rPr>
          <w:rFonts w:ascii="Arial" w:hAnsi="Arial" w:cs="Arial"/>
          <w:sz w:val="22"/>
          <w:szCs w:val="22"/>
        </w:rPr>
        <w:t xml:space="preserve">In this project, we evaluated the performance of three linear models—Standard Linear Regression, Ridge Regression, and Lasso Regression—to identify the drivers of economic growth. By applying a </w:t>
      </w:r>
      <w:r>
        <w:rPr>
          <w:rStyle w:val="HTMLCode"/>
          <w:rFonts w:ascii="Arial" w:hAnsi="Arial" w:cs="Arial"/>
          <w:sz w:val="22"/>
          <w:szCs w:val="22"/>
        </w:rPr>
        <w:t>StandardScaler</w:t>
      </w:r>
      <w:r>
        <w:rPr>
          <w:rFonts w:ascii="Arial" w:hAnsi="Arial" w:cs="Arial"/>
          <w:sz w:val="22"/>
          <w:szCs w:val="22"/>
        </w:rPr>
        <w:t xml:space="preserve"> to ensure our features were comparable, we successfully standardized the input space, allowing for more robust model training.</w:t>
      </w:r>
    </w:p>
    <w:p w14:paraId="69E12B35" w14:textId="77777777" w:rsidR="00314E67" w:rsidRDefault="00000000">
      <w:pPr>
        <w:pStyle w:val="NormalWeb"/>
        <w:jc w:val="both"/>
        <w:rPr>
          <w:rFonts w:ascii="Arial" w:hAnsi="Arial" w:cs="Arial"/>
          <w:sz w:val="22"/>
          <w:szCs w:val="22"/>
        </w:rPr>
      </w:pPr>
      <w:r>
        <w:rPr>
          <w:rFonts w:ascii="Arial" w:hAnsi="Arial" w:cs="Arial"/>
          <w:sz w:val="22"/>
          <w:szCs w:val="22"/>
        </w:rPr>
        <w:t xml:space="preserve">Our analysis revealed that all three models achieved consistent performance, suggesting that the underlying relationships between our selected economic indicators and GDP growth are relatively stable and linear in nature. The minimal difference in </w:t>
      </w:r>
      <w:r>
        <w:rPr>
          <w:rStyle w:val="math-inline"/>
          <w:rFonts w:ascii="Arial" w:hAnsi="Arial" w:cs="Arial"/>
          <w:sz w:val="22"/>
          <w:szCs w:val="22"/>
        </w:rPr>
        <w:t>$R^2$</w:t>
      </w:r>
      <w:r>
        <w:rPr>
          <w:rFonts w:ascii="Arial" w:hAnsi="Arial" w:cs="Arial"/>
          <w:sz w:val="22"/>
          <w:szCs w:val="22"/>
        </w:rPr>
        <w:t xml:space="preserve"> scores across the OLS, Ridge, and Lasso models indicates that there was no significant overfitting or extreme multicollinearity requiring heavy regularization in this specific dataset.</w:t>
      </w:r>
    </w:p>
    <w:p w14:paraId="7E43885C" w14:textId="77777777" w:rsidR="00314E67" w:rsidRDefault="00000000">
      <w:pPr>
        <w:pStyle w:val="NormalWeb"/>
        <w:jc w:val="both"/>
        <w:rPr>
          <w:rFonts w:ascii="Arial" w:hAnsi="Arial" w:cs="Arial"/>
          <w:sz w:val="22"/>
          <w:szCs w:val="22"/>
        </w:rPr>
      </w:pPr>
      <w:r>
        <w:rPr>
          <w:rFonts w:ascii="Arial" w:hAnsi="Arial" w:cs="Arial"/>
          <w:sz w:val="22"/>
          <w:szCs w:val="22"/>
        </w:rPr>
        <w:t xml:space="preserve">The use of </w:t>
      </w:r>
      <w:r>
        <w:rPr>
          <w:rFonts w:ascii="Arial" w:hAnsi="Arial" w:cs="Arial"/>
          <w:b/>
          <w:bCs/>
          <w:sz w:val="22"/>
          <w:szCs w:val="22"/>
        </w:rPr>
        <w:t>Ridge regression</w:t>
      </w:r>
      <w:r>
        <w:rPr>
          <w:rFonts w:ascii="Arial" w:hAnsi="Arial" w:cs="Arial"/>
          <w:sz w:val="22"/>
          <w:szCs w:val="22"/>
        </w:rPr>
        <w:t xml:space="preserve"> provided a stable baseline by applying a small penalty to the coefficients, while </w:t>
      </w:r>
      <w:r>
        <w:rPr>
          <w:rFonts w:ascii="Arial" w:hAnsi="Arial" w:cs="Arial"/>
          <w:b/>
          <w:bCs/>
          <w:sz w:val="22"/>
          <w:szCs w:val="22"/>
        </w:rPr>
        <w:t>Lasso regression</w:t>
      </w:r>
      <w:r>
        <w:rPr>
          <w:rFonts w:ascii="Arial" w:hAnsi="Arial" w:cs="Arial"/>
          <w:sz w:val="22"/>
          <w:szCs w:val="22"/>
        </w:rPr>
        <w:t xml:space="preserve"> confirmed that the features included in our analysis contribute meaningfully to the target variable, as the models maintained their predictive power. Ultimately, this analysis validates that while sophisticated modeling techniques are available, a well-prepared, standardized linear model is highly effective for interpreting the primary drivers of economic indicators. Moving forward, the next step would be to explore non-linear relationships to determine if economic shocks or lagged temporal effects provide further insights into growth patterns.</w:t>
      </w:r>
    </w:p>
    <w:p w14:paraId="7FD33824" w14:textId="77777777" w:rsidR="00314E67" w:rsidRDefault="00000000">
      <w:pPr>
        <w:pStyle w:val="Heading1"/>
        <w:pBdr>
          <w:bottom w:val="single" w:sz="8" w:space="4" w:color="2E5FA3"/>
        </w:pBdr>
        <w:rPr>
          <w:color w:val="365F91" w:themeColor="accent1" w:themeShade="BF"/>
          <w:kern w:val="36"/>
        </w:rPr>
      </w:pPr>
      <w:bookmarkStart w:id="24" w:name="sec-9-references"/>
      <w:r>
        <w:rPr>
          <w:kern w:val="36"/>
        </w:rPr>
        <w:t xml:space="preserve">    </w:t>
      </w:r>
      <w:bookmarkEnd w:id="24"/>
      <w:r>
        <w:rPr>
          <w:color w:val="365F91" w:themeColor="accent1" w:themeShade="BF"/>
          <w:kern w:val="36"/>
        </w:rPr>
        <w:t>9. References</w:t>
      </w:r>
    </w:p>
    <w:p w14:paraId="651DADB2" w14:textId="77777777" w:rsidR="00314E67" w:rsidRDefault="00000000">
      <w:pPr>
        <w:pStyle w:val="ListParagraph"/>
        <w:numPr>
          <w:ilvl w:val="0"/>
          <w:numId w:val="4"/>
        </w:numPr>
        <w:spacing w:before="120"/>
        <w:jc w:val="both"/>
      </w:pPr>
      <w:r>
        <w:t>Box, G. E. P., &amp; Jenkins, G. M. (1976). Time series analysis: Forecasting and control (Rev. ed.). Holden-Day.</w:t>
      </w:r>
    </w:p>
    <w:p w14:paraId="3E9D5FCE" w14:textId="77777777" w:rsidR="00314E67" w:rsidRDefault="00000000">
      <w:pPr>
        <w:pStyle w:val="ListParagraph"/>
        <w:numPr>
          <w:ilvl w:val="0"/>
          <w:numId w:val="4"/>
        </w:numPr>
        <w:spacing w:before="120"/>
        <w:jc w:val="both"/>
      </w:pPr>
      <w:r>
        <w:t>Chheng, K. (2023). Macroeconomic determinants of GDP growth in Cambodia: A VAR approach. Cambodian Journal of Economic Research, 5(1), 22–41.</w:t>
      </w:r>
    </w:p>
    <w:p w14:paraId="36712905" w14:textId="77777777" w:rsidR="00314E67" w:rsidRDefault="00000000">
      <w:pPr>
        <w:pStyle w:val="ListParagraph"/>
        <w:numPr>
          <w:ilvl w:val="0"/>
          <w:numId w:val="4"/>
        </w:numPr>
        <w:spacing w:before="120"/>
        <w:jc w:val="both"/>
      </w:pPr>
      <w:r>
        <w:t>Hassan, J., Uddin, M. Z., &amp; Ahmed, S. (2017). Forecasting GDP of Bangladesh using ARIMA model. Journal of Statistics and Applications, 8(1), 15–28.</w:t>
      </w:r>
    </w:p>
    <w:p w14:paraId="2E3F6DB9" w14:textId="77777777" w:rsidR="00314E67" w:rsidRDefault="00000000">
      <w:pPr>
        <w:pStyle w:val="ListParagraph"/>
        <w:numPr>
          <w:ilvl w:val="0"/>
          <w:numId w:val="4"/>
        </w:numPr>
        <w:spacing w:before="120"/>
        <w:jc w:val="both"/>
      </w:pPr>
      <w:r>
        <w:t>Khairi, N. S. M., Sallehuddin, R., &amp; Abdullah, L. (2020). A hybrid ARIMA-neural network model for Malaysian GDP forecasting. International Journal of Advanced Computer Science, 11(3), 210–218.</w:t>
      </w:r>
    </w:p>
    <w:p w14:paraId="526121EE" w14:textId="77777777" w:rsidR="00314E67" w:rsidRDefault="00000000">
      <w:pPr>
        <w:pStyle w:val="ListParagraph"/>
        <w:numPr>
          <w:ilvl w:val="0"/>
          <w:numId w:val="4"/>
        </w:numPr>
        <w:spacing w:before="120"/>
        <w:jc w:val="both"/>
      </w:pPr>
      <w:r>
        <w:t>Lee, J., &amp; Fink, D. (2023). Multiple imputation for developing-country macroeconomic data: Methods and applications. Journal of Development Economics, 160, 102–119.</w:t>
      </w:r>
    </w:p>
    <w:p w14:paraId="735F8B7D" w14:textId="77777777" w:rsidR="00314E67" w:rsidRDefault="00000000">
      <w:pPr>
        <w:pStyle w:val="ListParagraph"/>
        <w:numPr>
          <w:ilvl w:val="0"/>
          <w:numId w:val="4"/>
        </w:numPr>
        <w:spacing w:before="120"/>
        <w:jc w:val="both"/>
      </w:pPr>
      <w:r>
        <w:t>Little, R. J. A., &amp; Rubin, D. B. (2019). Statistical analysis with missing data (3rd ed.). Wiley.</w:t>
      </w:r>
    </w:p>
    <w:p w14:paraId="3377270F" w14:textId="77777777" w:rsidR="00314E67" w:rsidRDefault="00000000">
      <w:pPr>
        <w:pStyle w:val="ListParagraph"/>
        <w:numPr>
          <w:ilvl w:val="0"/>
          <w:numId w:val="4"/>
        </w:numPr>
        <w:spacing w:before="120"/>
        <w:jc w:val="both"/>
      </w:pPr>
      <w:r>
        <w:lastRenderedPageBreak/>
        <w:t>Moritz, S., Sardá, A., Bartz-Beielstein, T., Zaefferer, M., &amp; Stork, J. (2015). Comparison of different methods for univariate time series imputation in R. Technical Report, TH Köln.</w:t>
      </w:r>
    </w:p>
    <w:p w14:paraId="7D222C9C" w14:textId="77777777" w:rsidR="00314E67" w:rsidRDefault="00000000">
      <w:pPr>
        <w:pStyle w:val="ListParagraph"/>
        <w:numPr>
          <w:ilvl w:val="0"/>
          <w:numId w:val="4"/>
        </w:numPr>
        <w:spacing w:before="120"/>
        <w:jc w:val="both"/>
      </w:pPr>
      <w:r>
        <w:t>Sims, C. A. (1980). Macroeconomics and reality. Econometrica, 48(1), 1–48.</w:t>
      </w:r>
    </w:p>
    <w:p w14:paraId="2316456C" w14:textId="77777777" w:rsidR="00314E67" w:rsidRDefault="00000000">
      <w:pPr>
        <w:pStyle w:val="ListParagraph"/>
        <w:numPr>
          <w:ilvl w:val="0"/>
          <w:numId w:val="4"/>
        </w:numPr>
        <w:spacing w:before="120"/>
        <w:jc w:val="both"/>
      </w:pPr>
      <w:r>
        <w:t xml:space="preserve">World Bank. (2023). Cambodia economic update: Navigating headwinds. World Bank Group. </w:t>
      </w:r>
      <w:hyperlink r:id="rId18" w:history="1">
        <w:r w:rsidR="00314E67">
          <w:rPr>
            <w:rStyle w:val="15"/>
          </w:rPr>
          <w:t>https://www.worldbank.org/en/country/cambodia</w:t>
        </w:r>
      </w:hyperlink>
    </w:p>
    <w:p w14:paraId="287217AD" w14:textId="77777777" w:rsidR="00314E67" w:rsidRDefault="00000000">
      <w:pPr>
        <w:pStyle w:val="ListParagraph"/>
        <w:numPr>
          <w:ilvl w:val="0"/>
          <w:numId w:val="4"/>
        </w:numPr>
        <w:spacing w:before="120"/>
        <w:jc w:val="both"/>
      </w:pPr>
      <w:r>
        <w:t xml:space="preserve">World Bank. (2024). World Development Indicators [Data set]. </w:t>
      </w:r>
      <w:hyperlink r:id="rId19" w:history="1">
        <w:r w:rsidR="00314E67">
          <w:rPr>
            <w:rStyle w:val="15"/>
          </w:rPr>
          <w:t>https://databank.worldbank.org/source/world-development-indicators</w:t>
        </w:r>
      </w:hyperlink>
    </w:p>
    <w:p w14:paraId="3C0320B7" w14:textId="77777777" w:rsidR="00314E67" w:rsidRDefault="00000000">
      <w:pPr>
        <w:spacing w:before="120"/>
      </w:pPr>
      <w:r>
        <w:t xml:space="preserve"> </w:t>
      </w:r>
    </w:p>
    <w:p w14:paraId="5F0AD04A" w14:textId="77777777" w:rsidR="00314E67" w:rsidRDefault="00314E67"/>
    <w:sectPr w:rsidR="00314E67" w:rsidSect="00C85E02">
      <w:headerReference w:type="default" r:id="rId20"/>
      <w:footerReference w:type="default" r:id="rId21"/>
      <w:pgSz w:w="11906" w:h="16838"/>
      <w:pgMar w:top="1418" w:right="1418" w:bottom="1418" w:left="1418" w:header="720" w:footer="720" w:gutter="567"/>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07BC6" w14:textId="77777777" w:rsidR="00E528AA" w:rsidRDefault="00E528AA">
      <w:r>
        <w:separator/>
      </w:r>
    </w:p>
  </w:endnote>
  <w:endnote w:type="continuationSeparator" w:id="0">
    <w:p w14:paraId="1A4B5F82" w14:textId="77777777" w:rsidR="00E528AA" w:rsidRDefault="00E52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auto"/>
    <w:pitch w:val="default"/>
  </w:font>
  <w:font w:name="Yu Mincho">
    <w:altName w:val="Yu Gothic"/>
    <w:charset w:val="80"/>
    <w:family w:val="roman"/>
    <w:pitch w:val="default"/>
    <w:sig w:usb0="00000000" w:usb1="00000000" w:usb2="00000012" w:usb3="00000000" w:csb0="0002009F" w:csb1="00000000"/>
  </w:font>
  <w:font w:name="DaunPenh">
    <w:panose1 w:val="02000500000000020004"/>
    <w:charset w:val="00"/>
    <w:family w:val="auto"/>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MoolBoran">
    <w:panose1 w:val="020B0100010101010101"/>
    <w:charset w:val="00"/>
    <w:family w:val="swiss"/>
    <w:pitch w:val="variable"/>
    <w:sig w:usb0="80000003" w:usb1="00000000" w:usb2="0001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693572"/>
      <w:docPartObj>
        <w:docPartGallery w:val="Page Numbers (Bottom of Page)"/>
        <w:docPartUnique/>
      </w:docPartObj>
    </w:sdtPr>
    <w:sdtEndPr>
      <w:rPr>
        <w:noProof/>
      </w:rPr>
    </w:sdtEndPr>
    <w:sdtContent>
      <w:p w14:paraId="1419EF1D" w14:textId="77777777" w:rsidR="00C85E02" w:rsidRDefault="00C85E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F6E694" w14:textId="77777777" w:rsidR="00C85E02" w:rsidRDefault="00C85E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D9FBE" w14:textId="77777777" w:rsidR="00E528AA" w:rsidRDefault="00E528AA">
      <w:r>
        <w:separator/>
      </w:r>
    </w:p>
  </w:footnote>
  <w:footnote w:type="continuationSeparator" w:id="0">
    <w:p w14:paraId="22ED5D0F" w14:textId="77777777" w:rsidR="00E528AA" w:rsidRDefault="00E52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3498" w14:textId="77777777" w:rsidR="00314E67" w:rsidRDefault="00000000">
    <w:pPr>
      <w:pStyle w:val="Header"/>
      <w:rPr>
        <w:sz w:val="18"/>
        <w:szCs w:val="18"/>
      </w:rPr>
    </w:pPr>
    <w:r>
      <w:rPr>
        <w:sz w:val="18"/>
        <w:szCs w:val="18"/>
      </w:rPr>
      <w:t>ITC — Department of Applied Mathematics and Statistics | AMSI32_MIP Mini Project | AY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9F1"/>
    <w:multiLevelType w:val="multilevel"/>
    <w:tmpl w:val="00E739F1"/>
    <w:lvl w:ilvl="0">
      <w:start w:val="1"/>
      <w:numFmt w:val="bullet"/>
      <w:lvlText w:val=""/>
      <w:lvlJc w:val="left"/>
      <w:pPr>
        <w:ind w:left="1884" w:hanging="360"/>
      </w:pPr>
      <w:rPr>
        <w:rFonts w:ascii="Symbol" w:hAnsi="Symbol" w:hint="default"/>
      </w:rPr>
    </w:lvl>
    <w:lvl w:ilvl="1">
      <w:start w:val="1"/>
      <w:numFmt w:val="bullet"/>
      <w:lvlText w:val="o"/>
      <w:lvlJc w:val="left"/>
      <w:pPr>
        <w:ind w:left="2604" w:hanging="360"/>
      </w:pPr>
      <w:rPr>
        <w:rFonts w:ascii="Courier New" w:hAnsi="Courier New" w:cs="Courier New" w:hint="default"/>
      </w:rPr>
    </w:lvl>
    <w:lvl w:ilvl="2">
      <w:start w:val="1"/>
      <w:numFmt w:val="bullet"/>
      <w:lvlText w:val=""/>
      <w:lvlJc w:val="left"/>
      <w:pPr>
        <w:ind w:left="3324" w:hanging="360"/>
      </w:pPr>
      <w:rPr>
        <w:rFonts w:ascii="Wingdings" w:hAnsi="Wingdings" w:hint="default"/>
      </w:rPr>
    </w:lvl>
    <w:lvl w:ilvl="3">
      <w:start w:val="1"/>
      <w:numFmt w:val="bullet"/>
      <w:lvlText w:val=""/>
      <w:lvlJc w:val="left"/>
      <w:pPr>
        <w:ind w:left="4044" w:hanging="360"/>
      </w:pPr>
      <w:rPr>
        <w:rFonts w:ascii="Symbol" w:hAnsi="Symbol" w:hint="default"/>
      </w:rPr>
    </w:lvl>
    <w:lvl w:ilvl="4">
      <w:start w:val="1"/>
      <w:numFmt w:val="bullet"/>
      <w:lvlText w:val="o"/>
      <w:lvlJc w:val="left"/>
      <w:pPr>
        <w:ind w:left="4764" w:hanging="360"/>
      </w:pPr>
      <w:rPr>
        <w:rFonts w:ascii="Courier New" w:hAnsi="Courier New" w:cs="Courier New" w:hint="default"/>
      </w:rPr>
    </w:lvl>
    <w:lvl w:ilvl="5">
      <w:start w:val="1"/>
      <w:numFmt w:val="bullet"/>
      <w:lvlText w:val=""/>
      <w:lvlJc w:val="left"/>
      <w:pPr>
        <w:ind w:left="5484" w:hanging="360"/>
      </w:pPr>
      <w:rPr>
        <w:rFonts w:ascii="Wingdings" w:hAnsi="Wingdings" w:hint="default"/>
      </w:rPr>
    </w:lvl>
    <w:lvl w:ilvl="6">
      <w:start w:val="1"/>
      <w:numFmt w:val="bullet"/>
      <w:lvlText w:val=""/>
      <w:lvlJc w:val="left"/>
      <w:pPr>
        <w:ind w:left="6204" w:hanging="360"/>
      </w:pPr>
      <w:rPr>
        <w:rFonts w:ascii="Symbol" w:hAnsi="Symbol" w:hint="default"/>
      </w:rPr>
    </w:lvl>
    <w:lvl w:ilvl="7">
      <w:start w:val="1"/>
      <w:numFmt w:val="bullet"/>
      <w:lvlText w:val="o"/>
      <w:lvlJc w:val="left"/>
      <w:pPr>
        <w:ind w:left="6924" w:hanging="360"/>
      </w:pPr>
      <w:rPr>
        <w:rFonts w:ascii="Courier New" w:hAnsi="Courier New" w:cs="Courier New" w:hint="default"/>
      </w:rPr>
    </w:lvl>
    <w:lvl w:ilvl="8">
      <w:start w:val="1"/>
      <w:numFmt w:val="bullet"/>
      <w:lvlText w:val=""/>
      <w:lvlJc w:val="left"/>
      <w:pPr>
        <w:ind w:left="7644" w:hanging="360"/>
      </w:pPr>
      <w:rPr>
        <w:rFonts w:ascii="Wingdings" w:hAnsi="Wingdings" w:hint="default"/>
      </w:rPr>
    </w:lvl>
  </w:abstractNum>
  <w:abstractNum w:abstractNumId="1" w15:restartNumberingAfterBreak="0">
    <w:nsid w:val="1B105C2A"/>
    <w:multiLevelType w:val="multilevel"/>
    <w:tmpl w:val="1B105C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86595A"/>
    <w:multiLevelType w:val="multilevel"/>
    <w:tmpl w:val="3786595A"/>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3" w15:restartNumberingAfterBreak="0">
    <w:nsid w:val="5B494FB5"/>
    <w:multiLevelType w:val="multilevel"/>
    <w:tmpl w:val="5B494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428381815">
    <w:abstractNumId w:val="3"/>
  </w:num>
  <w:num w:numId="2" w16cid:durableId="581574513">
    <w:abstractNumId w:val="0"/>
  </w:num>
  <w:num w:numId="3" w16cid:durableId="1673951877">
    <w:abstractNumId w:val="2"/>
  </w:num>
  <w:num w:numId="4" w16cid:durableId="29842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72C"/>
    <w:rsid w:val="00010E58"/>
    <w:rsid w:val="00036E50"/>
    <w:rsid w:val="0003739A"/>
    <w:rsid w:val="00057EB0"/>
    <w:rsid w:val="00092D57"/>
    <w:rsid w:val="000F69B3"/>
    <w:rsid w:val="00132563"/>
    <w:rsid w:val="001703FF"/>
    <w:rsid w:val="001C09D2"/>
    <w:rsid w:val="001D5E10"/>
    <w:rsid w:val="001E2171"/>
    <w:rsid w:val="001F4C4A"/>
    <w:rsid w:val="001F70A2"/>
    <w:rsid w:val="00200077"/>
    <w:rsid w:val="00210F7E"/>
    <w:rsid w:val="00254574"/>
    <w:rsid w:val="00276BC1"/>
    <w:rsid w:val="00294B10"/>
    <w:rsid w:val="002A1A44"/>
    <w:rsid w:val="002B7D58"/>
    <w:rsid w:val="003111AA"/>
    <w:rsid w:val="00314E67"/>
    <w:rsid w:val="0031571B"/>
    <w:rsid w:val="00324EF8"/>
    <w:rsid w:val="00343D88"/>
    <w:rsid w:val="00354FC0"/>
    <w:rsid w:val="003634FF"/>
    <w:rsid w:val="003E6C76"/>
    <w:rsid w:val="003F17E8"/>
    <w:rsid w:val="00431EFC"/>
    <w:rsid w:val="004533DE"/>
    <w:rsid w:val="004572A0"/>
    <w:rsid w:val="0047714E"/>
    <w:rsid w:val="004873E7"/>
    <w:rsid w:val="004957FB"/>
    <w:rsid w:val="004D5E7A"/>
    <w:rsid w:val="004E26FB"/>
    <w:rsid w:val="00513EF3"/>
    <w:rsid w:val="005200E8"/>
    <w:rsid w:val="00520DD0"/>
    <w:rsid w:val="005312A0"/>
    <w:rsid w:val="005F6610"/>
    <w:rsid w:val="006119EB"/>
    <w:rsid w:val="006202ED"/>
    <w:rsid w:val="006800B9"/>
    <w:rsid w:val="006F694C"/>
    <w:rsid w:val="007878F5"/>
    <w:rsid w:val="007B0F8A"/>
    <w:rsid w:val="007E1DF5"/>
    <w:rsid w:val="00840C8D"/>
    <w:rsid w:val="00844662"/>
    <w:rsid w:val="009504C7"/>
    <w:rsid w:val="0095169E"/>
    <w:rsid w:val="00975DE9"/>
    <w:rsid w:val="009817D4"/>
    <w:rsid w:val="009C239D"/>
    <w:rsid w:val="009F4771"/>
    <w:rsid w:val="00A343D4"/>
    <w:rsid w:val="00A45674"/>
    <w:rsid w:val="00A61E4C"/>
    <w:rsid w:val="00A65884"/>
    <w:rsid w:val="00A96919"/>
    <w:rsid w:val="00AB1919"/>
    <w:rsid w:val="00AE3652"/>
    <w:rsid w:val="00AF2D12"/>
    <w:rsid w:val="00B22725"/>
    <w:rsid w:val="00B26F84"/>
    <w:rsid w:val="00B47B28"/>
    <w:rsid w:val="00B51484"/>
    <w:rsid w:val="00B66606"/>
    <w:rsid w:val="00B97FF9"/>
    <w:rsid w:val="00BB3E63"/>
    <w:rsid w:val="00BB53F9"/>
    <w:rsid w:val="00BB7E0C"/>
    <w:rsid w:val="00BD1EF3"/>
    <w:rsid w:val="00C85E02"/>
    <w:rsid w:val="00C87917"/>
    <w:rsid w:val="00C904C8"/>
    <w:rsid w:val="00CB5AB1"/>
    <w:rsid w:val="00CC1380"/>
    <w:rsid w:val="00D0172C"/>
    <w:rsid w:val="00D1360D"/>
    <w:rsid w:val="00DD01EF"/>
    <w:rsid w:val="00DD2E03"/>
    <w:rsid w:val="00E528AA"/>
    <w:rsid w:val="00E60438"/>
    <w:rsid w:val="00EB0A1D"/>
    <w:rsid w:val="00EB72AE"/>
    <w:rsid w:val="00F141E7"/>
    <w:rsid w:val="00FD33DE"/>
    <w:rsid w:val="00FE31A9"/>
    <w:rsid w:val="00FF06F1"/>
    <w:rsid w:val="31067E6B"/>
    <w:rsid w:val="59E40572"/>
    <w:rsid w:val="621C6158"/>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76F271"/>
  <w15:docId w15:val="{4BC77205-74A3-47B3-9123-87FE4209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imes New Roman" w:hAnsi="Arial" w:cs="Arial"/>
      <w:sz w:val="22"/>
      <w:szCs w:val="22"/>
      <w:lang w:val="en-GB" w:eastAsia="zh-CN"/>
    </w:rPr>
  </w:style>
  <w:style w:type="paragraph" w:styleId="Heading1">
    <w:name w:val="heading 1"/>
    <w:basedOn w:val="Normal"/>
    <w:next w:val="Normal"/>
    <w:link w:val="Heading1Char"/>
    <w:uiPriority w:val="99"/>
    <w:qFormat/>
    <w:pPr>
      <w:spacing w:before="320" w:after="160"/>
      <w:outlineLvl w:val="0"/>
    </w:pPr>
    <w:rPr>
      <w:b/>
      <w:bCs/>
      <w:color w:val="1F3864"/>
      <w:sz w:val="32"/>
      <w:szCs w:val="32"/>
    </w:rPr>
  </w:style>
  <w:style w:type="paragraph" w:styleId="Heading2">
    <w:name w:val="heading 2"/>
    <w:basedOn w:val="Normal"/>
    <w:next w:val="Normal"/>
    <w:link w:val="Heading2Char"/>
    <w:uiPriority w:val="99"/>
    <w:qFormat/>
    <w:pPr>
      <w:spacing w:before="220" w:after="100"/>
      <w:outlineLvl w:val="1"/>
    </w:pPr>
    <w:rPr>
      <w:b/>
      <w:bCs/>
      <w:color w:val="2E5FA3"/>
      <w:sz w:val="26"/>
      <w:szCs w:val="26"/>
    </w:rPr>
  </w:style>
  <w:style w:type="paragraph" w:styleId="Heading3">
    <w:name w:val="heading 3"/>
    <w:basedOn w:val="Normal"/>
    <w:link w:val="Heading3Char"/>
    <w:uiPriority w:val="99"/>
    <w:qFormat/>
    <w:pPr>
      <w:spacing w:before="160" w:after="80"/>
      <w:outlineLvl w:val="2"/>
    </w:pPr>
    <w:rPr>
      <w:b/>
      <w:b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rPr>
      <w:szCs w:val="36"/>
    </w:rPr>
  </w:style>
  <w:style w:type="paragraph" w:styleId="Header">
    <w:name w:val="header"/>
    <w:basedOn w:val="Normal"/>
    <w:link w:val="HeaderChar"/>
    <w:uiPriority w:val="99"/>
    <w:unhideWhenUsed/>
    <w:qFormat/>
    <w:pPr>
      <w:tabs>
        <w:tab w:val="center" w:pos="4513"/>
        <w:tab w:val="right" w:pos="9026"/>
      </w:tabs>
    </w:pPr>
    <w:rPr>
      <w:szCs w:val="36"/>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ListBullet">
    <w:name w:val="List Bullet"/>
    <w:basedOn w:val="Normal"/>
    <w:uiPriority w:val="99"/>
    <w:semiHidden/>
    <w:unhideWhenUsed/>
    <w:qFormat/>
    <w:pPr>
      <w:tabs>
        <w:tab w:val="left" w:pos="420"/>
      </w:tabs>
      <w:spacing w:before="100" w:beforeAutospacing="1" w:after="200" w:line="273" w:lineRule="auto"/>
      <w:contextualSpacing/>
    </w:pPr>
    <w:rPr>
      <w:rFonts w:ascii="Aptos" w:eastAsia="Yu Mincho" w:hAnsi="Aptos" w:cs="DaunPenh"/>
    </w:rPr>
  </w:style>
  <w:style w:type="paragraph" w:styleId="NormalWeb">
    <w:name w:val="Normal (Web)"/>
    <w:basedOn w:val="Normal"/>
    <w:uiPriority w:val="99"/>
    <w:unhideWhenUsed/>
    <w:qFormat/>
    <w:pPr>
      <w:spacing w:before="100" w:beforeAutospacing="1" w:after="100" w:afterAutospacing="1"/>
    </w:pPr>
    <w:rPr>
      <w:rFonts w:ascii="Times New Roman" w:hAnsi="Times New Roman" w:cs="Times New Roman"/>
      <w:sz w:val="24"/>
      <w:szCs w:val="24"/>
    </w:rPr>
  </w:style>
  <w:style w:type="paragraph" w:styleId="Title">
    <w:name w:val="Title"/>
    <w:basedOn w:val="Normal"/>
    <w:next w:val="Normal"/>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Heading1Char">
    <w:name w:val="Heading 1 Char"/>
    <w:basedOn w:val="DefaultParagraphFont"/>
    <w:link w:val="Heading1"/>
    <w:uiPriority w:val="99"/>
    <w:qFormat/>
    <w:rPr>
      <w:rFonts w:ascii="Arial" w:eastAsia="Times New Roman" w:hAnsi="Arial" w:cs="Arial"/>
      <w:b/>
      <w:bCs/>
      <w:color w:val="1F3864"/>
      <w:sz w:val="32"/>
      <w:szCs w:val="32"/>
      <w:lang w:val="en-GB"/>
    </w:rPr>
  </w:style>
  <w:style w:type="character" w:customStyle="1" w:styleId="Heading2Char">
    <w:name w:val="Heading 2 Char"/>
    <w:basedOn w:val="DefaultParagraphFont"/>
    <w:link w:val="Heading2"/>
    <w:uiPriority w:val="99"/>
    <w:qFormat/>
    <w:rPr>
      <w:rFonts w:ascii="Arial" w:eastAsia="Times New Roman" w:hAnsi="Arial" w:cs="Arial"/>
      <w:b/>
      <w:bCs/>
      <w:color w:val="2E5FA3"/>
      <w:sz w:val="26"/>
      <w:szCs w:val="26"/>
      <w:lang w:val="en-GB"/>
    </w:rPr>
  </w:style>
  <w:style w:type="character" w:customStyle="1" w:styleId="Heading3Char">
    <w:name w:val="Heading 3 Char"/>
    <w:basedOn w:val="DefaultParagraphFont"/>
    <w:link w:val="Heading3"/>
    <w:uiPriority w:val="99"/>
    <w:qFormat/>
    <w:rPr>
      <w:rFonts w:ascii="Arial" w:eastAsia="Times New Roman" w:hAnsi="Arial" w:cs="Arial"/>
      <w:b/>
      <w:bCs/>
      <w:color w:val="333333"/>
      <w:sz w:val="22"/>
      <w:szCs w:val="22"/>
      <w:lang w:val="en-GB"/>
    </w:rPr>
  </w:style>
  <w:style w:type="paragraph" w:styleId="ListParagraph">
    <w:name w:val="List Paragraph"/>
    <w:basedOn w:val="Normal"/>
    <w:uiPriority w:val="99"/>
    <w:qFormat/>
  </w:style>
  <w:style w:type="character" w:customStyle="1" w:styleId="15">
    <w:name w:val="15"/>
    <w:basedOn w:val="DefaultParagraphFont"/>
    <w:qFormat/>
    <w:rPr>
      <w:rFonts w:ascii="Courier New" w:hAnsi="Courier New" w:cs="Courier New" w:hint="default"/>
      <w:sz w:val="20"/>
      <w:szCs w:val="20"/>
    </w:rPr>
  </w:style>
  <w:style w:type="character" w:customStyle="1" w:styleId="16">
    <w:name w:val="16"/>
    <w:basedOn w:val="DefaultParagraphFont"/>
    <w:qFormat/>
    <w:rPr>
      <w:rFonts w:ascii="SimSun" w:eastAsia="SimSun" w:hAnsi="SimSun" w:hint="eastAsia"/>
      <w:color w:val="0563C1"/>
      <w:u w:val="single"/>
    </w:rPr>
  </w:style>
  <w:style w:type="character" w:customStyle="1" w:styleId="math-inline">
    <w:name w:val="math-inline"/>
    <w:basedOn w:val="DefaultParagraphFont"/>
    <w:qFormat/>
  </w:style>
  <w:style w:type="character" w:styleId="PlaceholderText">
    <w:name w:val="Placeholder Text"/>
    <w:basedOn w:val="DefaultParagraphFont"/>
    <w:uiPriority w:val="99"/>
    <w:semiHidden/>
    <w:qFormat/>
    <w:rPr>
      <w:color w:val="808080"/>
    </w:rPr>
  </w:style>
  <w:style w:type="character" w:customStyle="1" w:styleId="HeaderChar">
    <w:name w:val="Header Char"/>
    <w:basedOn w:val="DefaultParagraphFont"/>
    <w:link w:val="Header"/>
    <w:uiPriority w:val="99"/>
    <w:rPr>
      <w:rFonts w:ascii="Arial" w:eastAsia="Times New Roman" w:hAnsi="Arial" w:cs="Arial"/>
      <w:sz w:val="22"/>
      <w:szCs w:val="36"/>
    </w:rPr>
  </w:style>
  <w:style w:type="character" w:customStyle="1" w:styleId="FooterChar">
    <w:name w:val="Footer Char"/>
    <w:basedOn w:val="DefaultParagraphFont"/>
    <w:link w:val="Footer"/>
    <w:uiPriority w:val="99"/>
    <w:qFormat/>
    <w:rPr>
      <w:rFonts w:ascii="Arial" w:eastAsia="Times New Roman" w:hAnsi="Arial" w:cs="Arial"/>
      <w:sz w:val="22"/>
      <w:szCs w:val="36"/>
    </w:rPr>
  </w:style>
  <w:style w:type="character" w:styleId="Hyperlink">
    <w:name w:val="Hyperlink"/>
    <w:basedOn w:val="DefaultParagraphFont"/>
    <w:uiPriority w:val="99"/>
    <w:unhideWhenUsed/>
    <w:rsid w:val="00D1360D"/>
    <w:rPr>
      <w:color w:val="0000FF" w:themeColor="hyperlink"/>
      <w:u w:val="single"/>
    </w:rPr>
  </w:style>
  <w:style w:type="character" w:styleId="UnresolvedMention">
    <w:name w:val="Unresolved Mention"/>
    <w:basedOn w:val="DefaultParagraphFont"/>
    <w:uiPriority w:val="99"/>
    <w:semiHidden/>
    <w:unhideWhenUsed/>
    <w:rsid w:val="00D13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www.worldbank.org/en/country/cambodia"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new/PhrYn7h"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atabank.worldbank.org/source/world-development-indicators"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87A5D7-16A5-4D7F-9DB0-2FE62ABAB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19</Pages>
  <Words>4833</Words>
  <Characters>30065</Characters>
  <Application>Microsoft Office Word</Application>
  <DocSecurity>0</DocSecurity>
  <Lines>1036</Lines>
  <Paragraphs>491</Paragraphs>
  <ScaleCrop>false</ScaleCrop>
  <Company/>
  <LinksUpToDate>false</LinksUpToDate>
  <CharactersWithSpaces>34407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Hort Kimmeng</cp:lastModifiedBy>
  <cp:revision>6</cp:revision>
  <dcterms:created xsi:type="dcterms:W3CDTF">2026-06-13T06:24:00Z</dcterms:created>
  <dcterms:modified xsi:type="dcterms:W3CDTF">2026-06-13T07:01:00Z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eyJoZGlkIjoiNmE4YWE2NWM2NjkyMzUxOGRkNDNkNjJlMmYxYjJlZDkiLCJ1c2VySWQiOiI1OTI3NjM3NzIxNjU3In0=</vt:lpwstr>
  </property>
  <property fmtid="{D5CDD505-2E9C-101B-9397-08002B2CF9AE}" pid="3" name="KSOProductBuildVer">
    <vt:lpwstr>1033-12.1.0.26880</vt:lpwstr>
  </property>
  <property fmtid="{D5CDD505-2E9C-101B-9397-08002B2CF9AE}" pid="4" name="ICV">
    <vt:lpwstr>E218DBE5CADD4F89B6C5369ADEF237B8_13</vt:lpwstr>
  </property>
</Properties>
</file>