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NetTech India: AI Search Visibility &amp; AEO/GEO Audit</w:t>
      </w:r>
    </w:p>
    <w:p>
      <w:pPr>
        <w:jc w:val="center"/>
      </w:pPr>
      <w:r>
        <w:rPr>
          <w:i/>
          <w:sz w:val="20"/>
        </w:rPr>
        <w:t>Deep web research | Evidence reviewed through 10 September 2026</w:t>
      </w:r>
    </w:p>
    <w:p>
      <w:pPr>
        <w:jc w:val="center"/>
      </w:pPr>
      <w:r>
        <w:rPr>
          <w:sz w:val="18"/>
        </w:rPr>
        <w:t>Scope: nette​chindia.com, the visible .org property, public third-party sources, current Google guidance, and the uploaded AI-SEO framework.</w:t>
      </w:r>
    </w:p>
    <w:p/>
    <w:tbl>
      <w:tblPr>
        <w:tblW w:type="auto" w:w="0"/>
        <w:jc w:val="center"/>
        <w:tblLook w:firstColumn="1" w:firstRow="1" w:lastColumn="0" w:lastRow="0" w:noHBand="0" w:noVBand="1" w:val="04A0"/>
      </w:tblPr>
      <w:tblGrid>
        <w:gridCol w:w="10166"/>
      </w:tblGrid>
      <w:tr>
        <w:tc>
          <w:tcPr>
            <w:tcW w:type="dxa" w:w="10166"/>
            <w:shd w:fill="F2F4F7"/>
            <w:tcMar>
              <w:top w:w="140" w:type="dxa"/>
              <w:start w:w="160" w:type="dxa"/>
              <w:bottom w:w="140" w:type="dxa"/>
              <w:end w:w="160" w:type="dxa"/>
            </w:tcMar>
          </w:tcPr>
          <w:p>
            <w:r>
              <w:rPr>
                <w:b/>
                <w:sz w:val="24"/>
              </w:rPr>
              <w:t>Executive assessment</w:t>
            </w:r>
          </w:p>
          <w:p>
            <w:pPr>
              <w:spacing w:after="60"/>
            </w:pPr>
            <w:r>
              <w:t>NetTech India already has a credible first-party information footprint: a main site, dedicated course pages, placement pages, a large blog archive, branch pages and an active LinkedIn entity page.</w:t>
            </w:r>
          </w:p>
          <w:p>
            <w:pPr>
              <w:spacing w:after="60"/>
            </w:pPr>
            <w:r>
              <w:t>The strongest AI-search asset is the breadth of locally relevant, job-oriented pages. The biggest weakness is the relative lack of independently verifiable evidence behind large claims such as “80K+ students,” “4,000+ hiring companies,” “100% placement assistance,” and training/certification positioning.</w:t>
            </w:r>
          </w:p>
          <w:p>
            <w:pPr>
              <w:spacing w:after="60"/>
            </w:pPr>
            <w:r>
              <w:t>The most urgent technical/entity issue is domain consistency. Both nette​chindia.com and nette​chindia.org are publicly discoverable and contain overlapping business information. Unless the .org property is intentionally maintained as a separate product, this should be consolidated with one canonical domain and clear redirects/canonicals.</w:t>
            </w:r>
          </w:p>
          <w:p>
            <w:pPr>
              <w:spacing w:after="60"/>
            </w:pPr>
            <w:r>
              <w:t>For Google AI Overviews/AI Mode, Google’s current guidance explicitly says there are no special AI files or schema requirements: strong technical SEO, indexability, helpful original content, internal linking and clear entity information remain the foundation. For ChatGPT and other AI systems, machine-readable/context files can be useful as an additional layer, but they should not substitute for crawlable, trustworthy web content.</w:t>
            </w:r>
          </w:p>
        </w:tc>
      </w:tr>
    </w:tbl>
    <w:p>
      <w:pPr/>
      <w:r>
        <w:rPr>
          <w:b/>
        </w:rPr>
        <w:t>Overall readiness score: 6.5/10 (strong foundation, meaningful technical/entity cleanup and authority work still required).</w:t>
      </w:r>
    </w:p>
    <w:p>
      <w:pPr>
        <w:pStyle w:val="Heading1"/>
      </w:pPr>
      <w:r>
        <w:t>1. What NetTech India is already doing well</w:t>
      </w:r>
    </w:p>
    <w:tbl>
      <w:tblPr>
        <w:tblW w:type="auto" w:w="0"/>
        <w:jc w:val="center"/>
        <w:tblLook w:firstColumn="1" w:firstRow="1" w:lastColumn="0" w:lastRow="0" w:noHBand="0" w:noVBand="1" w:val="04A0"/>
      </w:tblPr>
      <w:tblGrid>
        <w:gridCol w:w="2541"/>
        <w:gridCol w:w="2541"/>
        <w:gridCol w:w="2541"/>
        <w:gridCol w:w="2541"/>
      </w:tblGrid>
      <w:tr>
        <w:tc>
          <w:tcPr>
            <w:tcW w:type="dxa" w:w="2541"/>
            <w:shd w:fill="1F2937"/>
            <w:tcMar>
              <w:top w:w="90" w:type="dxa"/>
              <w:start w:w="90" w:type="dxa"/>
              <w:bottom w:w="90" w:type="dxa"/>
              <w:end w:w="90" w:type="dxa"/>
            </w:tcMar>
          </w:tcPr>
          <w:p>
            <w:r>
              <w:rPr>
                <w:b/>
                <w:color w:val="FFFFFF"/>
              </w:rPr>
              <w:t>Area</w:t>
            </w:r>
          </w:p>
        </w:tc>
        <w:tc>
          <w:tcPr>
            <w:tcW w:type="dxa" w:w="2541"/>
            <w:shd w:fill="1F2937"/>
            <w:tcMar>
              <w:top w:w="90" w:type="dxa"/>
              <w:start w:w="90" w:type="dxa"/>
              <w:bottom w:w="90" w:type="dxa"/>
              <w:end w:w="90" w:type="dxa"/>
            </w:tcMar>
          </w:tcPr>
          <w:p>
            <w:r>
              <w:rPr>
                <w:b/>
                <w:color w:val="FFFFFF"/>
              </w:rPr>
              <w:t>Evidence observed</w:t>
            </w:r>
          </w:p>
        </w:tc>
        <w:tc>
          <w:tcPr>
            <w:tcW w:type="dxa" w:w="2541"/>
            <w:shd w:fill="1F2937"/>
            <w:tcMar>
              <w:top w:w="90" w:type="dxa"/>
              <w:start w:w="90" w:type="dxa"/>
              <w:bottom w:w="90" w:type="dxa"/>
              <w:end w:w="90" w:type="dxa"/>
            </w:tcMar>
          </w:tcPr>
          <w:p>
            <w:r>
              <w:rPr>
                <w:b/>
                <w:color w:val="FFFFFF"/>
              </w:rPr>
              <w:t>AI-search value</w:t>
            </w:r>
          </w:p>
        </w:tc>
        <w:tc>
          <w:tcPr>
            <w:tcW w:type="dxa" w:w="2541"/>
            <w:shd w:fill="1F2937"/>
            <w:tcMar>
              <w:top w:w="90" w:type="dxa"/>
              <w:start w:w="90" w:type="dxa"/>
              <w:bottom w:w="90" w:type="dxa"/>
              <w:end w:w="90" w:type="dxa"/>
            </w:tcMar>
          </w:tcPr>
          <w:p>
            <w:r>
              <w:rPr>
                <w:b/>
                <w:color w:val="FFFFFF"/>
              </w:rPr>
              <w:t>Assessment</w:t>
            </w:r>
          </w:p>
        </w:tc>
      </w:tr>
      <w:tr>
        <w:tc>
          <w:tcPr>
            <w:tcW w:type="dxa" w:w="2541"/>
            <w:tcMar>
              <w:top w:w="90" w:type="dxa"/>
              <w:start w:w="90" w:type="dxa"/>
              <w:bottom w:w="90" w:type="dxa"/>
              <w:end w:w="90" w:type="dxa"/>
            </w:tcMar>
            <w:vAlign w:val="center"/>
          </w:tcPr>
          <w:p>
            <w:r>
              <w:t>Entity definition</w:t>
            </w:r>
          </w:p>
        </w:tc>
        <w:tc>
          <w:tcPr>
            <w:tcW w:type="dxa" w:w="2541"/>
            <w:tcMar>
              <w:top w:w="90" w:type="dxa"/>
              <w:start w:w="90" w:type="dxa"/>
              <w:bottom w:w="90" w:type="dxa"/>
              <w:end w:w="90" w:type="dxa"/>
            </w:tcMar>
            <w:vAlign w:val="center"/>
          </w:tcPr>
          <w:p>
            <w:r>
              <w:t>About page states locations, training focus, student count, placement partners and experience. [1]</w:t>
            </w:r>
          </w:p>
        </w:tc>
        <w:tc>
          <w:tcPr>
            <w:tcW w:type="dxa" w:w="2541"/>
            <w:tcMar>
              <w:top w:w="90" w:type="dxa"/>
              <w:start w:w="90" w:type="dxa"/>
              <w:bottom w:w="90" w:type="dxa"/>
              <w:end w:w="90" w:type="dxa"/>
            </w:tcMar>
            <w:vAlign w:val="center"/>
          </w:tcPr>
          <w:p>
            <w:r>
              <w:t>Helps models answer “what is NetTech India?” with a coherent first-party source.</w:t>
            </w:r>
          </w:p>
        </w:tc>
        <w:tc>
          <w:tcPr>
            <w:tcW w:type="dxa" w:w="2541"/>
            <w:tcMar>
              <w:top w:w="90" w:type="dxa"/>
              <w:start w:w="90" w:type="dxa"/>
              <w:bottom w:w="90" w:type="dxa"/>
              <w:end w:w="90" w:type="dxa"/>
            </w:tcMar>
            <w:vAlign w:val="center"/>
          </w:tcPr>
          <w:p>
            <w:r>
              <w:t>Strong</w:t>
            </w:r>
          </w:p>
        </w:tc>
      </w:tr>
      <w:tr>
        <w:tc>
          <w:tcPr>
            <w:tcW w:type="dxa" w:w="2541"/>
            <w:tcMar>
              <w:top w:w="90" w:type="dxa"/>
              <w:start w:w="90" w:type="dxa"/>
              <w:bottom w:w="90" w:type="dxa"/>
              <w:end w:w="90" w:type="dxa"/>
            </w:tcMar>
            <w:vAlign w:val="center"/>
          </w:tcPr>
          <w:p>
            <w:r>
              <w:t>Local relevance</w:t>
            </w:r>
          </w:p>
        </w:tc>
        <w:tc>
          <w:tcPr>
            <w:tcW w:type="dxa" w:w="2541"/>
            <w:tcMar>
              <w:top w:w="90" w:type="dxa"/>
              <w:start w:w="90" w:type="dxa"/>
              <w:bottom w:w="90" w:type="dxa"/>
              <w:end w:w="90" w:type="dxa"/>
            </w:tcMar>
            <w:vAlign w:val="center"/>
          </w:tcPr>
          <w:p>
            <w:r>
              <w:t>Seven Mumbai/MMR branches are consistently surfaced on the main site and contact pages. [2][3]</w:t>
            </w:r>
          </w:p>
        </w:tc>
        <w:tc>
          <w:tcPr>
            <w:tcW w:type="dxa" w:w="2541"/>
            <w:tcMar>
              <w:top w:w="90" w:type="dxa"/>
              <w:start w:w="90" w:type="dxa"/>
              <w:bottom w:w="90" w:type="dxa"/>
              <w:end w:w="90" w:type="dxa"/>
            </w:tcMar>
            <w:vAlign w:val="center"/>
          </w:tcPr>
          <w:p>
            <w:r>
              <w:t>Supports queries such as “training institute in Thane” and branch-specific intent.</w:t>
            </w:r>
          </w:p>
        </w:tc>
        <w:tc>
          <w:tcPr>
            <w:tcW w:type="dxa" w:w="2541"/>
            <w:tcMar>
              <w:top w:w="90" w:type="dxa"/>
              <w:start w:w="90" w:type="dxa"/>
              <w:bottom w:w="90" w:type="dxa"/>
              <w:end w:w="90" w:type="dxa"/>
            </w:tcMar>
            <w:vAlign w:val="center"/>
          </w:tcPr>
          <w:p>
            <w:r>
              <w:t>Strong</w:t>
            </w:r>
          </w:p>
        </w:tc>
      </w:tr>
      <w:tr>
        <w:tc>
          <w:tcPr>
            <w:tcW w:type="dxa" w:w="2541"/>
            <w:tcMar>
              <w:top w:w="90" w:type="dxa"/>
              <w:start w:w="90" w:type="dxa"/>
              <w:bottom w:w="90" w:type="dxa"/>
              <w:end w:w="90" w:type="dxa"/>
            </w:tcMar>
            <w:vAlign w:val="center"/>
          </w:tcPr>
          <w:p>
            <w:r>
              <w:t>Course depth</w:t>
            </w:r>
          </w:p>
        </w:tc>
        <w:tc>
          <w:tcPr>
            <w:tcW w:type="dxa" w:w="2541"/>
            <w:tcMar>
              <w:top w:w="90" w:type="dxa"/>
              <w:start w:w="90" w:type="dxa"/>
              <w:bottom w:w="90" w:type="dxa"/>
              <w:end w:w="90" w:type="dxa"/>
            </w:tcMar>
            <w:vAlign w:val="center"/>
          </w:tcPr>
          <w:p>
            <w:r>
              <w:t>Dedicated pages exist for Data Analytics, Data Science, Power BI, AWS, GRC, SOC, software and many more. [4][5][6]</w:t>
            </w:r>
          </w:p>
        </w:tc>
        <w:tc>
          <w:tcPr>
            <w:tcW w:type="dxa" w:w="2541"/>
            <w:tcMar>
              <w:top w:w="90" w:type="dxa"/>
              <w:start w:w="90" w:type="dxa"/>
              <w:bottom w:w="90" w:type="dxa"/>
              <w:end w:w="90" w:type="dxa"/>
            </w:tcMar>
            <w:vAlign w:val="center"/>
          </w:tcPr>
          <w:p>
            <w:r>
              <w:t>Creates topical coverage and many indexable entry points.</w:t>
            </w:r>
          </w:p>
        </w:tc>
        <w:tc>
          <w:tcPr>
            <w:tcW w:type="dxa" w:w="2541"/>
            <w:tcMar>
              <w:top w:w="90" w:type="dxa"/>
              <w:start w:w="90" w:type="dxa"/>
              <w:bottom w:w="90" w:type="dxa"/>
              <w:end w:w="90" w:type="dxa"/>
            </w:tcMar>
            <w:vAlign w:val="center"/>
          </w:tcPr>
          <w:p>
            <w:r>
              <w:t>Strong</w:t>
            </w:r>
          </w:p>
        </w:tc>
      </w:tr>
      <w:tr>
        <w:tc>
          <w:tcPr>
            <w:tcW w:type="dxa" w:w="2541"/>
            <w:tcMar>
              <w:top w:w="90" w:type="dxa"/>
              <w:start w:w="90" w:type="dxa"/>
              <w:bottom w:w="90" w:type="dxa"/>
              <w:end w:w="90" w:type="dxa"/>
            </w:tcMar>
            <w:vAlign w:val="center"/>
          </w:tcPr>
          <w:p>
            <w:r>
              <w:t>Placement evidence</w:t>
            </w:r>
          </w:p>
        </w:tc>
        <w:tc>
          <w:tcPr>
            <w:tcW w:type="dxa" w:w="2541"/>
            <w:tcMar>
              <w:top w:w="90" w:type="dxa"/>
              <w:start w:w="90" w:type="dxa"/>
              <w:bottom w:w="90" w:type="dxa"/>
              <w:end w:w="90" w:type="dxa"/>
            </w:tcMar>
            <w:vAlign w:val="center"/>
          </w:tcPr>
          <w:p>
            <w:r>
              <w:t>Dedicated placement page describes a multi-step process and displays placed student names/roles. [7]</w:t>
            </w:r>
          </w:p>
        </w:tc>
        <w:tc>
          <w:tcPr>
            <w:tcW w:type="dxa" w:w="2541"/>
            <w:tcMar>
              <w:top w:w="90" w:type="dxa"/>
              <w:start w:w="90" w:type="dxa"/>
              <w:bottom w:w="90" w:type="dxa"/>
              <w:end w:w="90" w:type="dxa"/>
            </w:tcMar>
            <w:vAlign w:val="center"/>
          </w:tcPr>
          <w:p>
            <w:r>
              <w:t>More concrete than generic “we help you get jobs” copy; can be strengthened further.</w:t>
            </w:r>
          </w:p>
        </w:tc>
        <w:tc>
          <w:tcPr>
            <w:tcW w:type="dxa" w:w="2541"/>
            <w:tcMar>
              <w:top w:w="90" w:type="dxa"/>
              <w:start w:w="90" w:type="dxa"/>
              <w:bottom w:w="90" w:type="dxa"/>
              <w:end w:w="90" w:type="dxa"/>
            </w:tcMar>
            <w:vAlign w:val="center"/>
          </w:tcPr>
          <w:p>
            <w:r>
              <w:t>Medium-strong</w:t>
            </w:r>
          </w:p>
        </w:tc>
      </w:tr>
      <w:tr>
        <w:tc>
          <w:tcPr>
            <w:tcW w:type="dxa" w:w="2541"/>
            <w:tcMar>
              <w:top w:w="90" w:type="dxa"/>
              <w:start w:w="90" w:type="dxa"/>
              <w:bottom w:w="90" w:type="dxa"/>
              <w:end w:w="90" w:type="dxa"/>
            </w:tcMar>
            <w:vAlign w:val="center"/>
          </w:tcPr>
          <w:p>
            <w:r>
              <w:t>Fresh content</w:t>
            </w:r>
          </w:p>
        </w:tc>
        <w:tc>
          <w:tcPr>
            <w:tcW w:type="dxa" w:w="2541"/>
            <w:tcMar>
              <w:top w:w="90" w:type="dxa"/>
              <w:start w:w="90" w:type="dxa"/>
              <w:bottom w:w="90" w:type="dxa"/>
              <w:end w:w="90" w:type="dxa"/>
            </w:tcMar>
            <w:vAlign w:val="center"/>
          </w:tcPr>
          <w:p>
            <w:r>
              <w:t>Blog archive contains multiple 2026 posts covering SOC, CCNA, ethical hacking, cloud, ML and full-stack topics. [8]</w:t>
            </w:r>
          </w:p>
        </w:tc>
        <w:tc>
          <w:tcPr>
            <w:tcW w:type="dxa" w:w="2541"/>
            <w:tcMar>
              <w:top w:w="90" w:type="dxa"/>
              <w:start w:w="90" w:type="dxa"/>
              <w:bottom w:w="90" w:type="dxa"/>
              <w:end w:w="90" w:type="dxa"/>
            </w:tcMar>
            <w:vAlign w:val="center"/>
          </w:tcPr>
          <w:p>
            <w:r>
              <w:t>Fresh topical coverage can support long-tail retrieval and topical authority.</w:t>
            </w:r>
          </w:p>
        </w:tc>
        <w:tc>
          <w:tcPr>
            <w:tcW w:type="dxa" w:w="2541"/>
            <w:tcMar>
              <w:top w:w="90" w:type="dxa"/>
              <w:start w:w="90" w:type="dxa"/>
              <w:bottom w:w="90" w:type="dxa"/>
              <w:end w:w="90" w:type="dxa"/>
            </w:tcMar>
            <w:vAlign w:val="center"/>
          </w:tcPr>
          <w:p>
            <w:r>
              <w:t>Medium-strong</w:t>
            </w:r>
          </w:p>
        </w:tc>
      </w:tr>
      <w:tr>
        <w:tc>
          <w:tcPr>
            <w:tcW w:type="dxa" w:w="2541"/>
            <w:tcMar>
              <w:top w:w="90" w:type="dxa"/>
              <w:start w:w="90" w:type="dxa"/>
              <w:bottom w:w="90" w:type="dxa"/>
              <w:end w:w="90" w:type="dxa"/>
            </w:tcMar>
            <w:vAlign w:val="center"/>
          </w:tcPr>
          <w:p>
            <w:r>
              <w:t>Third-party presence</w:t>
            </w:r>
          </w:p>
        </w:tc>
        <w:tc>
          <w:tcPr>
            <w:tcW w:type="dxa" w:w="2541"/>
            <w:tcMar>
              <w:top w:w="90" w:type="dxa"/>
              <w:start w:w="90" w:type="dxa"/>
              <w:bottom w:w="90" w:type="dxa"/>
              <w:end w:w="90" w:type="dxa"/>
            </w:tcMar>
            <w:vAlign w:val="center"/>
          </w:tcPr>
          <w:p>
            <w:r>
              <w:t>LinkedIn has a substantial company profile; third-party directories/review aggregators also surface NetTech. [9][10]</w:t>
            </w:r>
          </w:p>
        </w:tc>
        <w:tc>
          <w:tcPr>
            <w:tcW w:type="dxa" w:w="2541"/>
            <w:tcMar>
              <w:top w:w="90" w:type="dxa"/>
              <w:start w:w="90" w:type="dxa"/>
              <w:bottom w:w="90" w:type="dxa"/>
              <w:end w:w="90" w:type="dxa"/>
            </w:tcMar>
            <w:vAlign w:val="center"/>
          </w:tcPr>
          <w:p>
            <w:r>
              <w:t>Gives AI systems corroborating entity signals outside the owned domain.</w:t>
            </w:r>
          </w:p>
        </w:tc>
        <w:tc>
          <w:tcPr>
            <w:tcW w:type="dxa" w:w="2541"/>
            <w:tcMar>
              <w:top w:w="90" w:type="dxa"/>
              <w:start w:w="90" w:type="dxa"/>
              <w:bottom w:w="90" w:type="dxa"/>
              <w:end w:w="90" w:type="dxa"/>
            </w:tcMar>
            <w:vAlign w:val="center"/>
          </w:tcPr>
          <w:p>
            <w:r>
              <w:t>Medium</w:t>
            </w:r>
          </w:p>
        </w:tc>
      </w:tr>
    </w:tbl>
    <w:p>
      <w:pPr>
        <w:pStyle w:val="Heading1"/>
      </w:pPr>
      <w:r>
        <w:t>2. Current entity footprint and what an AI system can infer</w:t>
      </w:r>
    </w:p>
    <w:p>
      <w:r>
        <w:rPr>
          <w:b/>
        </w:rPr>
        <w:t xml:space="preserve">The current web footprint supports a fairly clear entity interpretation: </w:t>
      </w:r>
      <w:r>
        <w:t>NetTech India is an India-based education/training business headquartered in Thane, operating multiple training centres across the Mumbai metropolitan area, focused on IT and non-IT courses with placement-oriented positioning. The current LinkedIn profile says it was founded in 2012; the current .com About page describes 15 years of training experience. [1][9]</w:t>
      </w:r>
    </w:p>
    <w:p>
      <w:r>
        <w:rPr>
          <w:b/>
        </w:rPr>
        <w:t xml:space="preserve">Important inconsistency: </w:t>
      </w:r>
      <w:r>
        <w:t>the older .org domain remains publicly crawlable and has overlapping course, location and branding content. [11][12] This increases the chance that search engines and answer engines treat the web presence as multiple source variants rather than one clean canonical entity.</w:t>
      </w:r>
    </w:p>
    <w:p>
      <w:r>
        <w:rPr>
          <w:b/>
        </w:rPr>
        <w:t xml:space="preserve">Recommendation: </w:t>
      </w:r>
      <w:r>
        <w:t>choose nette​chindia.com as the canonical public property, then audit every .org URL for a one-to-one 301 redirect, canonical tag, internal-link migration, sitemap migration and brand/profile links. Do not simply let both properties remain “alive” with near-duplicate pages.</w:t>
      </w:r>
    </w:p>
    <w:p>
      <w:pPr>
        <w:pStyle w:val="Heading1"/>
      </w:pPr>
      <w:r>
        <w:t>3. Search-demand visibility: where NetTech is positioned today</w:t>
      </w:r>
    </w:p>
    <w:tbl>
      <w:tblPr>
        <w:tblW w:type="auto" w:w="0"/>
        <w:jc w:val="center"/>
        <w:tblLook w:firstColumn="1" w:firstRow="1" w:lastColumn="0" w:lastRow="0" w:noHBand="0" w:noVBand="1" w:val="04A0"/>
      </w:tblPr>
      <w:tblGrid>
        <w:gridCol w:w="2541"/>
        <w:gridCol w:w="2541"/>
        <w:gridCol w:w="2541"/>
        <w:gridCol w:w="2541"/>
      </w:tblGrid>
      <w:tr>
        <w:tc>
          <w:tcPr>
            <w:tcW w:type="dxa" w:w="2541"/>
            <w:shd w:fill="374151"/>
            <w:tcMar>
              <w:top w:w="90" w:type="dxa"/>
              <w:start w:w="90" w:type="dxa"/>
              <w:bottom w:w="90" w:type="dxa"/>
              <w:end w:w="90" w:type="dxa"/>
            </w:tcMar>
          </w:tcPr>
          <w:p>
            <w:r>
              <w:rPr>
                <w:b/>
                <w:color w:val="FFFFFF"/>
              </w:rPr>
              <w:t>Query family</w:t>
            </w:r>
          </w:p>
        </w:tc>
        <w:tc>
          <w:tcPr>
            <w:tcW w:type="dxa" w:w="2541"/>
            <w:shd w:fill="374151"/>
            <w:tcMar>
              <w:top w:w="90" w:type="dxa"/>
              <w:start w:w="90" w:type="dxa"/>
              <w:bottom w:w="90" w:type="dxa"/>
              <w:end w:w="90" w:type="dxa"/>
            </w:tcMar>
          </w:tcPr>
          <w:p>
            <w:r>
              <w:rPr>
                <w:b/>
                <w:color w:val="FFFFFF"/>
              </w:rPr>
              <w:t>Intent</w:t>
            </w:r>
          </w:p>
        </w:tc>
        <w:tc>
          <w:tcPr>
            <w:tcW w:type="dxa" w:w="2541"/>
            <w:shd w:fill="374151"/>
            <w:tcMar>
              <w:top w:w="90" w:type="dxa"/>
              <w:start w:w="90" w:type="dxa"/>
              <w:bottom w:w="90" w:type="dxa"/>
              <w:end w:w="90" w:type="dxa"/>
            </w:tcMar>
          </w:tcPr>
          <w:p>
            <w:r>
              <w:rPr>
                <w:b/>
                <w:color w:val="FFFFFF"/>
              </w:rPr>
              <w:t>Current evidence</w:t>
            </w:r>
          </w:p>
        </w:tc>
        <w:tc>
          <w:tcPr>
            <w:tcW w:type="dxa" w:w="2541"/>
            <w:shd w:fill="374151"/>
            <w:tcMar>
              <w:top w:w="90" w:type="dxa"/>
              <w:start w:w="90" w:type="dxa"/>
              <w:bottom w:w="90" w:type="dxa"/>
              <w:end w:w="90" w:type="dxa"/>
            </w:tcMar>
          </w:tcPr>
          <w:p>
            <w:r>
              <w:rPr>
                <w:b/>
                <w:color w:val="FFFFFF"/>
              </w:rPr>
              <w:t>Gap</w:t>
            </w:r>
          </w:p>
        </w:tc>
      </w:tr>
      <w:tr>
        <w:tc>
          <w:tcPr>
            <w:tcW w:type="dxa" w:w="2541"/>
            <w:tcMar>
              <w:top w:w="90" w:type="dxa"/>
              <w:start w:w="90" w:type="dxa"/>
              <w:bottom w:w="90" w:type="dxa"/>
              <w:end w:w="90" w:type="dxa"/>
            </w:tcMar>
          </w:tcPr>
          <w:p>
            <w:r>
              <w:t>“best data analytics institute in Mumbai”</w:t>
            </w:r>
          </w:p>
        </w:tc>
        <w:tc>
          <w:tcPr>
            <w:tcW w:type="dxa" w:w="2541"/>
            <w:tcMar>
              <w:top w:w="90" w:type="dxa"/>
              <w:start w:w="90" w:type="dxa"/>
              <w:bottom w:w="90" w:type="dxa"/>
              <w:end w:w="90" w:type="dxa"/>
            </w:tcMar>
          </w:tcPr>
          <w:p>
            <w:r>
              <w:t>Competitive / commercial</w:t>
            </w:r>
          </w:p>
        </w:tc>
        <w:tc>
          <w:tcPr>
            <w:tcW w:type="dxa" w:w="2541"/>
            <w:tcMar>
              <w:top w:w="90" w:type="dxa"/>
              <w:start w:w="90" w:type="dxa"/>
              <w:bottom w:w="90" w:type="dxa"/>
              <w:end w:w="90" w:type="dxa"/>
            </w:tcMar>
          </w:tcPr>
          <w:p>
            <w:r>
              <w:t>NetTech appears in the broader web ecosystem, but the strongest fresh results returned were competitors such as FITA, Awdiz and SevenMentor. [13][14][15]</w:t>
            </w:r>
          </w:p>
        </w:tc>
        <w:tc>
          <w:tcPr>
            <w:tcW w:type="dxa" w:w="2541"/>
            <w:tcMar>
              <w:top w:w="90" w:type="dxa"/>
              <w:start w:w="90" w:type="dxa"/>
              <w:bottom w:w="90" w:type="dxa"/>
              <w:end w:w="90" w:type="dxa"/>
            </w:tcMar>
          </w:tcPr>
          <w:p>
            <w:r>
              <w:t>High competition; needs stronger independent proof.</w:t>
            </w:r>
          </w:p>
        </w:tc>
      </w:tr>
      <w:tr>
        <w:tc>
          <w:tcPr>
            <w:tcW w:type="dxa" w:w="2541"/>
            <w:tcMar>
              <w:top w:w="90" w:type="dxa"/>
              <w:start w:w="90" w:type="dxa"/>
              <w:bottom w:w="90" w:type="dxa"/>
              <w:end w:w="90" w:type="dxa"/>
            </w:tcMar>
          </w:tcPr>
          <w:p>
            <w:r>
              <w:t>“data analytics course in Thane”</w:t>
            </w:r>
          </w:p>
        </w:tc>
        <w:tc>
          <w:tcPr>
            <w:tcW w:type="dxa" w:w="2541"/>
            <w:tcMar>
              <w:top w:w="90" w:type="dxa"/>
              <w:start w:w="90" w:type="dxa"/>
              <w:bottom w:w="90" w:type="dxa"/>
              <w:end w:w="90" w:type="dxa"/>
            </w:tcMar>
          </w:tcPr>
          <w:p>
            <w:r>
              <w:t>Local commercial</w:t>
            </w:r>
          </w:p>
        </w:tc>
        <w:tc>
          <w:tcPr>
            <w:tcW w:type="dxa" w:w="2541"/>
            <w:tcMar>
              <w:top w:w="90" w:type="dxa"/>
              <w:start w:w="90" w:type="dxa"/>
              <w:bottom w:w="90" w:type="dxa"/>
              <w:end w:w="90" w:type="dxa"/>
            </w:tcMar>
          </w:tcPr>
          <w:p>
            <w:r>
              <w:t>NetTech has a dedicated Data Analytics with AI page targeting Thane, Mumbai, Navi Mumbai and Kalyan. [4]</w:t>
            </w:r>
          </w:p>
        </w:tc>
        <w:tc>
          <w:tcPr>
            <w:tcW w:type="dxa" w:w="2541"/>
            <w:tcMar>
              <w:top w:w="90" w:type="dxa"/>
              <w:start w:w="90" w:type="dxa"/>
              <w:bottom w:w="90" w:type="dxa"/>
              <w:end w:w="90" w:type="dxa"/>
            </w:tcMar>
          </w:tcPr>
          <w:p>
            <w:r>
              <w:t>Good owned-page coverage.</w:t>
            </w:r>
          </w:p>
        </w:tc>
      </w:tr>
      <w:tr>
        <w:tc>
          <w:tcPr>
            <w:tcW w:type="dxa" w:w="2541"/>
            <w:tcMar>
              <w:top w:w="90" w:type="dxa"/>
              <w:start w:w="90" w:type="dxa"/>
              <w:bottom w:w="90" w:type="dxa"/>
              <w:end w:w="90" w:type="dxa"/>
            </w:tcMar>
          </w:tcPr>
          <w:p>
            <w:r>
              <w:t>“IT training institute in Thane”</w:t>
            </w:r>
          </w:p>
        </w:tc>
        <w:tc>
          <w:tcPr>
            <w:tcW w:type="dxa" w:w="2541"/>
            <w:tcMar>
              <w:top w:w="90" w:type="dxa"/>
              <w:start w:w="90" w:type="dxa"/>
              <w:bottom w:w="90" w:type="dxa"/>
              <w:end w:w="90" w:type="dxa"/>
            </w:tcMar>
          </w:tcPr>
          <w:p>
            <w:r>
              <w:t>Local commercial</w:t>
            </w:r>
          </w:p>
        </w:tc>
        <w:tc>
          <w:tcPr>
            <w:tcW w:type="dxa" w:w="2541"/>
            <w:tcMar>
              <w:top w:w="90" w:type="dxa"/>
              <w:start w:w="90" w:type="dxa"/>
              <w:bottom w:w="90" w:type="dxa"/>
              <w:end w:w="90" w:type="dxa"/>
            </w:tcMar>
          </w:tcPr>
          <w:p>
            <w:r>
              <w:t>NetTech’s own site and branch information are prominent in its public footprint; competitors also publish dedicated 2026 pages. [2][16]</w:t>
            </w:r>
          </w:p>
        </w:tc>
        <w:tc>
          <w:tcPr>
            <w:tcW w:type="dxa" w:w="2541"/>
            <w:tcMar>
              <w:top w:w="90" w:type="dxa"/>
              <w:start w:w="90" w:type="dxa"/>
              <w:bottom w:w="90" w:type="dxa"/>
              <w:end w:w="90" w:type="dxa"/>
            </w:tcMar>
          </w:tcPr>
          <w:p>
            <w:r>
              <w:t>Entity/local signals are good; differentiation is weaker.</w:t>
            </w:r>
          </w:p>
        </w:tc>
      </w:tr>
      <w:tr>
        <w:tc>
          <w:tcPr>
            <w:tcW w:type="dxa" w:w="2541"/>
            <w:tcMar>
              <w:top w:w="90" w:type="dxa"/>
              <w:start w:w="90" w:type="dxa"/>
              <w:bottom w:w="90" w:type="dxa"/>
              <w:end w:w="90" w:type="dxa"/>
            </w:tcMar>
          </w:tcPr>
          <w:p>
            <w:r>
              <w:t>“AI course in Mumbai”</w:t>
            </w:r>
          </w:p>
        </w:tc>
        <w:tc>
          <w:tcPr>
            <w:tcW w:type="dxa" w:w="2541"/>
            <w:tcMar>
              <w:top w:w="90" w:type="dxa"/>
              <w:start w:w="90" w:type="dxa"/>
              <w:bottom w:w="90" w:type="dxa"/>
              <w:end w:w="90" w:type="dxa"/>
            </w:tcMar>
          </w:tcPr>
          <w:p>
            <w:r>
              <w:t>Commercial / trend-led</w:t>
            </w:r>
          </w:p>
        </w:tc>
        <w:tc>
          <w:tcPr>
            <w:tcW w:type="dxa" w:w="2541"/>
            <w:tcMar>
              <w:top w:w="90" w:type="dxa"/>
              <w:start w:w="90" w:type="dxa"/>
              <w:bottom w:w="90" w:type="dxa"/>
              <w:end w:w="90" w:type="dxa"/>
            </w:tcMar>
          </w:tcPr>
          <w:p>
            <w:r>
              <w:t>Competitors are publishing highly specific 2026 AI pages, often with batch dates, pricing, tool lists and trainer credentials. [17][18][19] NetTech has AI course content but is less specific in some public pages. [5]</w:t>
            </w:r>
          </w:p>
        </w:tc>
        <w:tc>
          <w:tcPr>
            <w:tcW w:type="dxa" w:w="2541"/>
            <w:tcMar>
              <w:top w:w="90" w:type="dxa"/>
              <w:start w:w="90" w:type="dxa"/>
              <w:bottom w:w="90" w:type="dxa"/>
              <w:end w:w="90" w:type="dxa"/>
            </w:tcMar>
          </w:tcPr>
          <w:p>
            <w:r>
              <w:t>Needs specificity and proof.</w:t>
            </w:r>
          </w:p>
        </w:tc>
      </w:tr>
      <w:tr>
        <w:tc>
          <w:tcPr>
            <w:tcW w:type="dxa" w:w="2541"/>
            <w:tcMar>
              <w:top w:w="90" w:type="dxa"/>
              <w:start w:w="90" w:type="dxa"/>
              <w:bottom w:w="90" w:type="dxa"/>
              <w:end w:w="90" w:type="dxa"/>
            </w:tcMar>
          </w:tcPr>
          <w:p>
            <w:r>
              <w:t>“cyber security training in Mumbai”</w:t>
            </w:r>
          </w:p>
        </w:tc>
        <w:tc>
          <w:tcPr>
            <w:tcW w:type="dxa" w:w="2541"/>
            <w:tcMar>
              <w:top w:w="90" w:type="dxa"/>
              <w:start w:w="90" w:type="dxa"/>
              <w:bottom w:w="90" w:type="dxa"/>
              <w:end w:w="90" w:type="dxa"/>
            </w:tcMar>
          </w:tcPr>
          <w:p>
            <w:r>
              <w:t>Commercial / local</w:t>
            </w:r>
          </w:p>
        </w:tc>
        <w:tc>
          <w:tcPr>
            <w:tcW w:type="dxa" w:w="2541"/>
            <w:tcMar>
              <w:top w:w="90" w:type="dxa"/>
              <w:start w:w="90" w:type="dxa"/>
              <w:bottom w:w="90" w:type="dxa"/>
              <w:end w:w="90" w:type="dxa"/>
            </w:tcMar>
          </w:tcPr>
          <w:p>
            <w:r>
              <w:t>NetTech has multiple dedicated cyber pages and current course architecture. [20]</w:t>
            </w:r>
          </w:p>
        </w:tc>
        <w:tc>
          <w:tcPr>
            <w:tcW w:type="dxa" w:w="2541"/>
            <w:tcMar>
              <w:top w:w="90" w:type="dxa"/>
              <w:start w:w="90" w:type="dxa"/>
              <w:bottom w:w="90" w:type="dxa"/>
              <w:end w:w="90" w:type="dxa"/>
            </w:tcMar>
          </w:tcPr>
          <w:p>
            <w:r>
              <w:t>Strong breadth; need stronger unique evidence and comparisons.</w:t>
            </w:r>
          </w:p>
        </w:tc>
      </w:tr>
    </w:tbl>
    <w:p>
      <w:r>
        <w:rPr>
          <w:b/>
        </w:rPr>
        <w:t xml:space="preserve">Important measurement limitation: </w:t>
      </w:r>
      <w:r>
        <w:t>public web research cannot establish a reliable ChatGPT/Perplexity citation rate for the brand. AI answers are dynamic and personalised, and this audit does not claim that NetTech is or is not currently cited by a specific AI answer engine. The evidence here measures web discoverability, corroboration and readiness—the upstream conditions that make citation possible.</w:t>
      </w:r>
    </w:p>
    <w:p>
      <w:pPr>
        <w:pStyle w:val="Heading1"/>
      </w:pPr>
      <w:r>
        <w:t>4. AI-SEO framework: what applies, and what should be updated</w:t>
      </w:r>
    </w:p>
    <w:p>
      <w:r>
        <w:rPr>
          <w:b/>
        </w:rPr>
        <w:t xml:space="preserve">The uploaded AI-SEO framework is directionally useful. </w:t>
      </w:r>
      <w:r>
        <w:t>It correctly emphasizes structure, authority and presence, and it recommends direct answer blocks, tables, FAQs, author attribution, freshness and crawlability. [21]</w:t>
      </w:r>
    </w:p>
    <w:p>
      <w:r>
        <w:rPr>
          <w:b/>
        </w:rPr>
        <w:t xml:space="preserve">But Google’s current official guidance is more conservative than some generic AEO/GEO playbooks. </w:t>
      </w:r>
      <w:r>
        <w:t>Google states there are no additional technical requirements or special AI optimizations for AI Overviews or AI Mode; websites should continue using foundational SEO, helpful people-first content, internal links, textual content, good page experience and accurate structured data where applicable. Google explicitly says new AI files such as llms.txt are not required for its AI search features. [22][23]</w:t>
      </w:r>
    </w:p>
    <w:p>
      <w:r>
        <w:rPr>
          <w:b/>
        </w:rPr>
        <w:t xml:space="preserve">Therefore the recommended stack for NetTech is: </w:t>
      </w:r>
      <w:r>
        <w:t>(1) canonical/entity cleanup, (2) strong conventional SEO and indexability, (3) original evidence and expert content, (4) external corroboration, and only then (5) optional machine-readable layers for non-Google ecosystems.</w:t>
      </w:r>
    </w:p>
    <w:p>
      <w:pPr>
        <w:pStyle w:val="Heading1"/>
      </w:pPr>
      <w:r>
        <w:t>5. Authority and trust: the largest content opportunity</w:t>
      </w:r>
    </w:p>
    <w:p>
      <w:r>
        <w:rPr>
          <w:b/>
        </w:rPr>
        <w:t xml:space="preserve">Current strength: </w:t>
      </w:r>
      <w:r>
        <w:t>the site has concrete student names, job titles and employer names on the placement surface, plus course-specific curriculum details. [7][5]</w:t>
      </w:r>
    </w:p>
    <w:p>
      <w:r>
        <w:rPr>
          <w:b/>
        </w:rPr>
        <w:t xml:space="preserve">Current weakness: </w:t>
      </w:r>
      <w:r>
        <w:t>much of the editorial content uses generic “best/top/leading” language and promotional claims. This is exactly where an answer engine has less reason to select the page over an independent directory, review source, university page or another provider with more verifiable data. Current Google guidance explicitly prioritizes unique, useful, non-commodity content and firsthand experience. [22]</w:t>
      </w:r>
    </w:p>
    <w:tbl>
      <w:tblPr>
        <w:tblW w:type="auto" w:w="0"/>
        <w:jc w:val="center"/>
        <w:tblLook w:firstColumn="1" w:firstRow="1" w:lastColumn="0" w:lastRow="0" w:noHBand="0" w:noVBand="1" w:val="04A0"/>
      </w:tblPr>
      <w:tblGrid>
        <w:gridCol w:w="2541"/>
        <w:gridCol w:w="2541"/>
        <w:gridCol w:w="2541"/>
        <w:gridCol w:w="2541"/>
      </w:tblGrid>
      <w:tr>
        <w:tc>
          <w:tcPr>
            <w:tcW w:type="dxa" w:w="2541"/>
            <w:shd w:fill="374151"/>
            <w:tcMar>
              <w:top w:w="90" w:type="dxa"/>
              <w:start w:w="90" w:type="dxa"/>
              <w:bottom w:w="90" w:type="dxa"/>
              <w:end w:w="90" w:type="dxa"/>
            </w:tcMar>
          </w:tcPr>
          <w:p>
            <w:r>
              <w:rPr>
                <w:b/>
                <w:color w:val="FFFFFF"/>
              </w:rPr>
              <w:t>Source</w:t>
            </w:r>
          </w:p>
        </w:tc>
        <w:tc>
          <w:tcPr>
            <w:tcW w:type="dxa" w:w="2541"/>
            <w:shd w:fill="374151"/>
            <w:tcMar>
              <w:top w:w="90" w:type="dxa"/>
              <w:start w:w="90" w:type="dxa"/>
              <w:bottom w:w="90" w:type="dxa"/>
              <w:end w:w="90" w:type="dxa"/>
            </w:tcMar>
          </w:tcPr>
          <w:p>
            <w:r>
              <w:rPr>
                <w:b/>
                <w:color w:val="FFFFFF"/>
              </w:rPr>
              <w:t>Observed signal</w:t>
            </w:r>
          </w:p>
        </w:tc>
        <w:tc>
          <w:tcPr>
            <w:tcW w:type="dxa" w:w="2541"/>
            <w:shd w:fill="374151"/>
            <w:tcMar>
              <w:top w:w="90" w:type="dxa"/>
              <w:start w:w="90" w:type="dxa"/>
              <w:bottom w:w="90" w:type="dxa"/>
              <w:end w:w="90" w:type="dxa"/>
            </w:tcMar>
          </w:tcPr>
          <w:p>
            <w:r>
              <w:rPr>
                <w:b/>
                <w:color w:val="FFFFFF"/>
              </w:rPr>
              <w:t>What it helps with</w:t>
            </w:r>
          </w:p>
        </w:tc>
        <w:tc>
          <w:tcPr>
            <w:tcW w:type="dxa" w:w="2541"/>
            <w:shd w:fill="374151"/>
            <w:tcMar>
              <w:top w:w="90" w:type="dxa"/>
              <w:start w:w="90" w:type="dxa"/>
              <w:bottom w:w="90" w:type="dxa"/>
              <w:end w:w="90" w:type="dxa"/>
            </w:tcMar>
          </w:tcPr>
          <w:p>
            <w:r>
              <w:rPr>
                <w:b/>
                <w:color w:val="FFFFFF"/>
              </w:rPr>
              <w:t>Risk / caveat</w:t>
            </w:r>
          </w:p>
        </w:tc>
      </w:tr>
      <w:tr>
        <w:tc>
          <w:tcPr>
            <w:tcW w:type="dxa" w:w="2541"/>
            <w:tcMar>
              <w:top w:w="90" w:type="dxa"/>
              <w:start w:w="90" w:type="dxa"/>
              <w:bottom w:w="90" w:type="dxa"/>
              <w:end w:w="90" w:type="dxa"/>
            </w:tcMar>
          </w:tcPr>
          <w:p>
            <w:r>
              <w:t>Google review aggregation via Collegedunia</w:t>
            </w:r>
          </w:p>
        </w:tc>
        <w:tc>
          <w:tcPr>
            <w:tcW w:type="dxa" w:w="2541"/>
            <w:tcMar>
              <w:top w:w="90" w:type="dxa"/>
              <w:start w:w="90" w:type="dxa"/>
              <w:bottom w:w="90" w:type="dxa"/>
              <w:end w:w="90" w:type="dxa"/>
            </w:tcMar>
          </w:tcPr>
          <w:p>
            <w:r>
              <w:t>3.8/5 shown from 1,009 Google Reviews; 405 marked verified in the aggregation; mixed positive and negative excerpts. [10]</w:t>
            </w:r>
          </w:p>
        </w:tc>
        <w:tc>
          <w:tcPr>
            <w:tcW w:type="dxa" w:w="2541"/>
            <w:tcMar>
              <w:top w:w="90" w:type="dxa"/>
              <w:start w:w="90" w:type="dxa"/>
              <w:bottom w:w="90" w:type="dxa"/>
              <w:end w:w="90" w:type="dxa"/>
            </w:tcMar>
          </w:tcPr>
          <w:p>
            <w:r>
              <w:t>Independent reputation corroboration.</w:t>
            </w:r>
          </w:p>
        </w:tc>
        <w:tc>
          <w:tcPr>
            <w:tcW w:type="dxa" w:w="2541"/>
            <w:tcMar>
              <w:top w:w="90" w:type="dxa"/>
              <w:start w:w="90" w:type="dxa"/>
              <w:bottom w:w="90" w:type="dxa"/>
              <w:end w:w="90" w:type="dxa"/>
            </w:tcMar>
          </w:tcPr>
          <w:p>
            <w:r>
              <w:t>Aggregate is third-party, not a direct Google Maps audit.</w:t>
            </w:r>
          </w:p>
        </w:tc>
      </w:tr>
      <w:tr>
        <w:tc>
          <w:tcPr>
            <w:tcW w:type="dxa" w:w="2541"/>
            <w:tcMar>
              <w:top w:w="90" w:type="dxa"/>
              <w:start w:w="90" w:type="dxa"/>
              <w:bottom w:w="90" w:type="dxa"/>
              <w:end w:w="90" w:type="dxa"/>
            </w:tcMar>
          </w:tcPr>
          <w:p>
            <w:r>
              <w:t>MouthShut</w:t>
            </w:r>
          </w:p>
        </w:tc>
        <w:tc>
          <w:tcPr>
            <w:tcW w:type="dxa" w:w="2541"/>
            <w:tcMar>
              <w:top w:w="90" w:type="dxa"/>
              <w:start w:w="90" w:type="dxa"/>
              <w:bottom w:w="90" w:type="dxa"/>
              <w:end w:w="90" w:type="dxa"/>
            </w:tcMar>
          </w:tcPr>
          <w:p>
            <w:r>
              <w:t>2.41/5 from 219 votes on the reviewed listing; both positive and negative comments exist, including placement/faculty praise and service criticisms. [24]</w:t>
            </w:r>
          </w:p>
        </w:tc>
        <w:tc>
          <w:tcPr>
            <w:tcW w:type="dxa" w:w="2541"/>
            <w:tcMar>
              <w:top w:w="90" w:type="dxa"/>
              <w:start w:w="90" w:type="dxa"/>
              <w:bottom w:w="90" w:type="dxa"/>
              <w:end w:w="90" w:type="dxa"/>
            </w:tcMar>
          </w:tcPr>
          <w:p>
            <w:r>
              <w:t>Shows that reputation is not uniformly positive.</w:t>
            </w:r>
          </w:p>
        </w:tc>
        <w:tc>
          <w:tcPr>
            <w:tcW w:type="dxa" w:w="2541"/>
            <w:tcMar>
              <w:top w:w="90" w:type="dxa"/>
              <w:start w:w="90" w:type="dxa"/>
              <w:bottom w:w="90" w:type="dxa"/>
              <w:end w:w="90" w:type="dxa"/>
            </w:tcMar>
          </w:tcPr>
          <w:p>
            <w:r>
              <w:t>Older review corpus; platform-specific.</w:t>
            </w:r>
          </w:p>
        </w:tc>
      </w:tr>
      <w:tr>
        <w:tc>
          <w:tcPr>
            <w:tcW w:type="dxa" w:w="2541"/>
            <w:tcMar>
              <w:top w:w="90" w:type="dxa"/>
              <w:start w:w="90" w:type="dxa"/>
              <w:bottom w:w="90" w:type="dxa"/>
              <w:end w:w="90" w:type="dxa"/>
            </w:tcMar>
          </w:tcPr>
          <w:p>
            <w:r>
              <w:t>ConsumerComplaints.in</w:t>
            </w:r>
          </w:p>
        </w:tc>
        <w:tc>
          <w:tcPr>
            <w:tcW w:type="dxa" w:w="2541"/>
            <w:tcMar>
              <w:top w:w="90" w:type="dxa"/>
              <w:start w:w="90" w:type="dxa"/>
              <w:bottom w:w="90" w:type="dxa"/>
              <w:end w:w="90" w:type="dxa"/>
            </w:tcMar>
          </w:tcPr>
          <w:p>
            <w:r>
              <w:t>A public complaint alleges misleading placement assurances and payment-related concerns. [25]</w:t>
            </w:r>
          </w:p>
        </w:tc>
        <w:tc>
          <w:tcPr>
            <w:tcW w:type="dxa" w:w="2541"/>
            <w:tcMar>
              <w:top w:w="90" w:type="dxa"/>
              <w:start w:w="90" w:type="dxa"/>
              <w:bottom w:w="90" w:type="dxa"/>
              <w:end w:w="90" w:type="dxa"/>
            </w:tcMar>
          </w:tcPr>
          <w:p>
            <w:r>
              <w:t>Important risk signal for reputation/content claims.</w:t>
            </w:r>
          </w:p>
        </w:tc>
        <w:tc>
          <w:tcPr>
            <w:tcW w:type="dxa" w:w="2541"/>
            <w:tcMar>
              <w:top w:w="90" w:type="dxa"/>
              <w:start w:w="90" w:type="dxa"/>
              <w:bottom w:w="90" w:type="dxa"/>
              <w:end w:w="90" w:type="dxa"/>
            </w:tcMar>
          </w:tcPr>
          <w:p>
            <w:r>
              <w:t>User-generated allegation; not proof of wrongdoing.</w:t>
            </w:r>
          </w:p>
        </w:tc>
      </w:tr>
      <w:tr>
        <w:tc>
          <w:tcPr>
            <w:tcW w:type="dxa" w:w="2541"/>
            <w:tcMar>
              <w:top w:w="90" w:type="dxa"/>
              <w:start w:w="90" w:type="dxa"/>
              <w:bottom w:w="90" w:type="dxa"/>
              <w:end w:w="90" w:type="dxa"/>
            </w:tcMar>
          </w:tcPr>
          <w:p>
            <w:r>
              <w:t>LinkedIn</w:t>
            </w:r>
          </w:p>
        </w:tc>
        <w:tc>
          <w:tcPr>
            <w:tcW w:type="dxa" w:w="2541"/>
            <w:tcMar>
              <w:top w:w="90" w:type="dxa"/>
              <w:start w:w="90" w:type="dxa"/>
              <w:bottom w:w="90" w:type="dxa"/>
              <w:end w:w="90" w:type="dxa"/>
            </w:tcMar>
          </w:tcPr>
          <w:p>
            <w:r>
              <w:t>6,367 followers and 316 employees displayed on current page; strong company-level presence. [9]</w:t>
            </w:r>
          </w:p>
        </w:tc>
        <w:tc>
          <w:tcPr>
            <w:tcW w:type="dxa" w:w="2541"/>
            <w:tcMar>
              <w:top w:w="90" w:type="dxa"/>
              <w:start w:w="90" w:type="dxa"/>
              <w:bottom w:w="90" w:type="dxa"/>
              <w:end w:w="90" w:type="dxa"/>
            </w:tcMar>
          </w:tcPr>
          <w:p>
            <w:r>
              <w:t>Professional entity corroboration and author/profile opportunities.</w:t>
            </w:r>
          </w:p>
        </w:tc>
        <w:tc>
          <w:tcPr>
            <w:tcW w:type="dxa" w:w="2541"/>
            <w:tcMar>
              <w:top w:w="90" w:type="dxa"/>
              <w:start w:w="90" w:type="dxa"/>
              <w:bottom w:w="90" w:type="dxa"/>
              <w:end w:w="90" w:type="dxa"/>
            </w:tcMar>
          </w:tcPr>
          <w:p>
            <w:r>
              <w:t>Follower/employee figures fluctuate and do not prove training outcomes.</w:t>
            </w:r>
          </w:p>
        </w:tc>
      </w:tr>
    </w:tbl>
    <w:p>
      <w:r>
        <w:rPr>
          <w:b/>
        </w:rPr>
        <w:t xml:space="preserve">Editorial implication: </w:t>
      </w:r>
      <w:r>
        <w:t>avoid making “100% placement” sound like a guaranteed employment outcome. The public site repeatedly frames it as “100% placement assistance,” which is materially safer and more precise. [1][7] Make the distinction explicit in all future pages: assistance, eligibility, interview preparation, placement drives and actual outcomes are separate metrics.</w:t>
      </w:r>
    </w:p>
    <w:p>
      <w:pPr>
        <w:pStyle w:val="Heading1"/>
      </w:pPr>
      <w:r>
        <w:t>6. Technical and machine-readability audit</w:t>
      </w:r>
    </w:p>
    <w:tbl>
      <w:tblPr>
        <w:tblW w:type="auto" w:w="0"/>
        <w:jc w:val="center"/>
        <w:tblLook w:firstColumn="1" w:firstRow="1" w:lastColumn="0" w:lastRow="0" w:noHBand="0" w:noVBand="1" w:val="04A0"/>
      </w:tblPr>
      <w:tblGrid>
        <w:gridCol w:w="2541"/>
        <w:gridCol w:w="2541"/>
        <w:gridCol w:w="2541"/>
        <w:gridCol w:w="2541"/>
      </w:tblGrid>
      <w:tr>
        <w:tc>
          <w:tcPr>
            <w:tcW w:type="dxa" w:w="2541"/>
            <w:shd w:fill="1F2937"/>
            <w:tcMar>
              <w:top w:w="90" w:type="dxa"/>
              <w:start w:w="90" w:type="dxa"/>
              <w:bottom w:w="90" w:type="dxa"/>
              <w:end w:w="90" w:type="dxa"/>
            </w:tcMar>
          </w:tcPr>
          <w:p>
            <w:r>
              <w:rPr>
                <w:b/>
                <w:color w:val="FFFFFF"/>
              </w:rPr>
              <w:t>Check</w:t>
            </w:r>
          </w:p>
        </w:tc>
        <w:tc>
          <w:tcPr>
            <w:tcW w:type="dxa" w:w="2541"/>
            <w:shd w:fill="1F2937"/>
            <w:tcMar>
              <w:top w:w="90" w:type="dxa"/>
              <w:start w:w="90" w:type="dxa"/>
              <w:bottom w:w="90" w:type="dxa"/>
              <w:end w:w="90" w:type="dxa"/>
            </w:tcMar>
          </w:tcPr>
          <w:p>
            <w:r>
              <w:rPr>
                <w:b/>
                <w:color w:val="FFFFFF"/>
              </w:rPr>
              <w:t>Research result</w:t>
            </w:r>
          </w:p>
        </w:tc>
        <w:tc>
          <w:tcPr>
            <w:tcW w:type="dxa" w:w="2541"/>
            <w:shd w:fill="1F2937"/>
            <w:tcMar>
              <w:top w:w="90" w:type="dxa"/>
              <w:start w:w="90" w:type="dxa"/>
              <w:bottom w:w="90" w:type="dxa"/>
              <w:end w:w="90" w:type="dxa"/>
            </w:tcMar>
          </w:tcPr>
          <w:p>
            <w:r>
              <w:rPr>
                <w:b/>
                <w:color w:val="FFFFFF"/>
              </w:rPr>
              <w:t>Status</w:t>
            </w:r>
          </w:p>
        </w:tc>
        <w:tc>
          <w:tcPr>
            <w:tcW w:type="dxa" w:w="2541"/>
            <w:shd w:fill="1F2937"/>
            <w:tcMar>
              <w:top w:w="90" w:type="dxa"/>
              <w:start w:w="90" w:type="dxa"/>
              <w:bottom w:w="90" w:type="dxa"/>
              <w:end w:w="90" w:type="dxa"/>
            </w:tcMar>
          </w:tcPr>
          <w:p>
            <w:r>
              <w:rPr>
                <w:b/>
                <w:color w:val="FFFFFF"/>
              </w:rPr>
              <w:t>Priority</w:t>
            </w:r>
          </w:p>
        </w:tc>
      </w:tr>
      <w:tr>
        <w:tc>
          <w:tcPr>
            <w:tcW w:type="dxa" w:w="2541"/>
            <w:tcMar>
              <w:top w:w="90" w:type="dxa"/>
              <w:start w:w="90" w:type="dxa"/>
              <w:bottom w:w="90" w:type="dxa"/>
              <w:end w:w="90" w:type="dxa"/>
            </w:tcMar>
          </w:tcPr>
          <w:p>
            <w:r>
              <w:t>Crawlable public pages</w:t>
            </w:r>
          </w:p>
        </w:tc>
        <w:tc>
          <w:tcPr>
            <w:tcW w:type="dxa" w:w="2541"/>
            <w:tcMar>
              <w:top w:w="90" w:type="dxa"/>
              <w:start w:w="90" w:type="dxa"/>
              <w:bottom w:w="90" w:type="dxa"/>
              <w:end w:w="90" w:type="dxa"/>
            </w:tcMar>
          </w:tcPr>
          <w:p>
            <w:r>
              <w:t>Main pages and course pages are indexed/discoverable in web search. [1][4][5]</w:t>
            </w:r>
          </w:p>
        </w:tc>
        <w:tc>
          <w:tcPr>
            <w:tcW w:type="dxa" w:w="2541"/>
            <w:tcMar>
              <w:top w:w="90" w:type="dxa"/>
              <w:start w:w="90" w:type="dxa"/>
              <w:bottom w:w="90" w:type="dxa"/>
              <w:end w:w="90" w:type="dxa"/>
            </w:tcMar>
          </w:tcPr>
          <w:p>
            <w:r>
              <w:t>Pass</w:t>
            </w:r>
          </w:p>
        </w:tc>
        <w:tc>
          <w:tcPr>
            <w:tcW w:type="dxa" w:w="2541"/>
            <w:tcMar>
              <w:top w:w="90" w:type="dxa"/>
              <w:start w:w="90" w:type="dxa"/>
              <w:bottom w:w="90" w:type="dxa"/>
              <w:end w:w="90" w:type="dxa"/>
            </w:tcMar>
          </w:tcPr>
          <w:p>
            <w:r>
              <w:t>Keep</w:t>
            </w:r>
          </w:p>
        </w:tc>
      </w:tr>
      <w:tr>
        <w:tc>
          <w:tcPr>
            <w:tcW w:type="dxa" w:w="2541"/>
            <w:tcMar>
              <w:top w:w="90" w:type="dxa"/>
              <w:start w:w="90" w:type="dxa"/>
              <w:bottom w:w="90" w:type="dxa"/>
              <w:end w:w="90" w:type="dxa"/>
            </w:tcMar>
          </w:tcPr>
          <w:p>
            <w:r>
              <w:t>Internal linking</w:t>
            </w:r>
          </w:p>
        </w:tc>
        <w:tc>
          <w:tcPr>
            <w:tcW w:type="dxa" w:w="2541"/>
            <w:tcMar>
              <w:top w:w="90" w:type="dxa"/>
              <w:start w:w="90" w:type="dxa"/>
              <w:bottom w:w="90" w:type="dxa"/>
              <w:end w:w="90" w:type="dxa"/>
            </w:tcMar>
          </w:tcPr>
          <w:p>
            <w:r>
              <w:t>Main navigation exposes course categories, placement, career, blog and branches. [1]</w:t>
            </w:r>
          </w:p>
        </w:tc>
        <w:tc>
          <w:tcPr>
            <w:tcW w:type="dxa" w:w="2541"/>
            <w:tcMar>
              <w:top w:w="90" w:type="dxa"/>
              <w:start w:w="90" w:type="dxa"/>
              <w:bottom w:w="90" w:type="dxa"/>
              <w:end w:w="90" w:type="dxa"/>
            </w:tcMar>
          </w:tcPr>
          <w:p>
            <w:r>
              <w:t>Pass / improve</w:t>
            </w:r>
          </w:p>
        </w:tc>
        <w:tc>
          <w:tcPr>
            <w:tcW w:type="dxa" w:w="2541"/>
            <w:tcMar>
              <w:top w:w="90" w:type="dxa"/>
              <w:start w:w="90" w:type="dxa"/>
              <w:bottom w:w="90" w:type="dxa"/>
              <w:end w:w="90" w:type="dxa"/>
            </w:tcMar>
          </w:tcPr>
          <w:p>
            <w:r>
              <w:t>Medium</w:t>
            </w:r>
          </w:p>
        </w:tc>
      </w:tr>
      <w:tr>
        <w:tc>
          <w:tcPr>
            <w:tcW w:type="dxa" w:w="2541"/>
            <w:tcMar>
              <w:top w:w="90" w:type="dxa"/>
              <w:start w:w="90" w:type="dxa"/>
              <w:bottom w:w="90" w:type="dxa"/>
              <w:end w:w="90" w:type="dxa"/>
            </w:tcMar>
          </w:tcPr>
          <w:p>
            <w:r>
              <w:t>Text-first content</w:t>
            </w:r>
          </w:p>
        </w:tc>
        <w:tc>
          <w:tcPr>
            <w:tcW w:type="dxa" w:w="2541"/>
            <w:tcMar>
              <w:top w:w="90" w:type="dxa"/>
              <w:start w:w="90" w:type="dxa"/>
              <w:bottom w:w="90" w:type="dxa"/>
              <w:end w:w="90" w:type="dxa"/>
            </w:tcMar>
          </w:tcPr>
          <w:p>
            <w:r>
              <w:t>Key commercial/course propositions are visible as HTML text, not only images. [1][4][7]</w:t>
            </w:r>
          </w:p>
        </w:tc>
        <w:tc>
          <w:tcPr>
            <w:tcW w:type="dxa" w:w="2541"/>
            <w:tcMar>
              <w:top w:w="90" w:type="dxa"/>
              <w:start w:w="90" w:type="dxa"/>
              <w:bottom w:w="90" w:type="dxa"/>
              <w:end w:w="90" w:type="dxa"/>
            </w:tcMar>
          </w:tcPr>
          <w:p>
            <w:r>
              <w:t>Pass</w:t>
            </w:r>
          </w:p>
        </w:tc>
        <w:tc>
          <w:tcPr>
            <w:tcW w:type="dxa" w:w="2541"/>
            <w:tcMar>
              <w:top w:w="90" w:type="dxa"/>
              <w:start w:w="90" w:type="dxa"/>
              <w:bottom w:w="90" w:type="dxa"/>
              <w:end w:w="90" w:type="dxa"/>
            </w:tcMar>
          </w:tcPr>
          <w:p>
            <w:r>
              <w:t>Keep</w:t>
            </w:r>
          </w:p>
        </w:tc>
      </w:tr>
      <w:tr>
        <w:tc>
          <w:tcPr>
            <w:tcW w:type="dxa" w:w="2541"/>
            <w:tcMar>
              <w:top w:w="90" w:type="dxa"/>
              <w:start w:w="90" w:type="dxa"/>
              <w:bottom w:w="90" w:type="dxa"/>
              <w:end w:w="90" w:type="dxa"/>
            </w:tcMar>
          </w:tcPr>
          <w:p>
            <w:r>
              <w:t>Robots / AI crawler access</w:t>
            </w:r>
          </w:p>
        </w:tc>
        <w:tc>
          <w:tcPr>
            <w:tcW w:type="dxa" w:w="2541"/>
            <w:tcMar>
              <w:top w:w="90" w:type="dxa"/>
              <w:start w:w="90" w:type="dxa"/>
              <w:bottom w:w="90" w:type="dxa"/>
              <w:end w:w="90" w:type="dxa"/>
            </w:tcMar>
          </w:tcPr>
          <w:p>
            <w:r>
              <w:t>Direct retrieval of robots.txt was not available in this research environment.</w:t>
            </w:r>
          </w:p>
        </w:tc>
        <w:tc>
          <w:tcPr>
            <w:tcW w:type="dxa" w:w="2541"/>
            <w:tcMar>
              <w:top w:w="90" w:type="dxa"/>
              <w:start w:w="90" w:type="dxa"/>
              <w:bottom w:w="90" w:type="dxa"/>
              <w:end w:w="90" w:type="dxa"/>
            </w:tcMar>
          </w:tcPr>
          <w:p>
            <w:r>
              <w:t>Unverified</w:t>
            </w:r>
          </w:p>
        </w:tc>
        <w:tc>
          <w:tcPr>
            <w:tcW w:type="dxa" w:w="2541"/>
            <w:tcMar>
              <w:top w:w="90" w:type="dxa"/>
              <w:start w:w="90" w:type="dxa"/>
              <w:bottom w:w="90" w:type="dxa"/>
              <w:end w:w="90" w:type="dxa"/>
            </w:tcMar>
          </w:tcPr>
          <w:p>
            <w:r>
              <w:t>High</w:t>
            </w:r>
          </w:p>
        </w:tc>
      </w:tr>
      <w:tr>
        <w:tc>
          <w:tcPr>
            <w:tcW w:type="dxa" w:w="2541"/>
            <w:tcMar>
              <w:top w:w="90" w:type="dxa"/>
              <w:start w:w="90" w:type="dxa"/>
              <w:bottom w:w="90" w:type="dxa"/>
              <w:end w:w="90" w:type="dxa"/>
            </w:tcMar>
          </w:tcPr>
          <w:p>
            <w:r>
              <w:t>llms.txt</w:t>
            </w:r>
          </w:p>
        </w:tc>
        <w:tc>
          <w:tcPr>
            <w:tcW w:type="dxa" w:w="2541"/>
            <w:tcMar>
              <w:top w:w="90" w:type="dxa"/>
              <w:start w:w="90" w:type="dxa"/>
              <w:bottom w:w="90" w:type="dxa"/>
              <w:end w:w="90" w:type="dxa"/>
            </w:tcMar>
          </w:tcPr>
          <w:p>
            <w:r>
              <w:t>Direct verification was not available; no indexed result surfaced proving a maintained llms.txt.</w:t>
            </w:r>
          </w:p>
        </w:tc>
        <w:tc>
          <w:tcPr>
            <w:tcW w:type="dxa" w:w="2541"/>
            <w:tcMar>
              <w:top w:w="90" w:type="dxa"/>
              <w:start w:w="90" w:type="dxa"/>
              <w:bottom w:w="90" w:type="dxa"/>
              <w:end w:w="90" w:type="dxa"/>
            </w:tcMar>
          </w:tcPr>
          <w:p>
            <w:r>
              <w:t>Unverified / likely absent</w:t>
            </w:r>
          </w:p>
        </w:tc>
        <w:tc>
          <w:tcPr>
            <w:tcW w:type="dxa" w:w="2541"/>
            <w:tcMar>
              <w:top w:w="90" w:type="dxa"/>
              <w:start w:w="90" w:type="dxa"/>
              <w:bottom w:w="90" w:type="dxa"/>
              <w:end w:w="90" w:type="dxa"/>
            </w:tcMar>
          </w:tcPr>
          <w:p>
            <w:r>
              <w:t>Low-medium</w:t>
            </w:r>
          </w:p>
        </w:tc>
      </w:tr>
      <w:tr>
        <w:tc>
          <w:tcPr>
            <w:tcW w:type="dxa" w:w="2541"/>
            <w:tcMar>
              <w:top w:w="90" w:type="dxa"/>
              <w:start w:w="90" w:type="dxa"/>
              <w:bottom w:w="90" w:type="dxa"/>
              <w:end w:w="90" w:type="dxa"/>
            </w:tcMar>
          </w:tcPr>
          <w:p>
            <w:r>
              <w:t>Structured data/schema</w:t>
            </w:r>
          </w:p>
        </w:tc>
        <w:tc>
          <w:tcPr>
            <w:tcW w:type="dxa" w:w="2541"/>
            <w:tcMar>
              <w:top w:w="90" w:type="dxa"/>
              <w:start w:w="90" w:type="dxa"/>
              <w:bottom w:w="90" w:type="dxa"/>
              <w:end w:w="90" w:type="dxa"/>
            </w:tcMar>
          </w:tcPr>
          <w:p>
            <w:r>
              <w:t>Search evidence was insufficient to prove which schemas are implemented correctly.</w:t>
            </w:r>
          </w:p>
        </w:tc>
        <w:tc>
          <w:tcPr>
            <w:tcW w:type="dxa" w:w="2541"/>
            <w:tcMar>
              <w:top w:w="90" w:type="dxa"/>
              <w:start w:w="90" w:type="dxa"/>
              <w:bottom w:w="90" w:type="dxa"/>
              <w:end w:w="90" w:type="dxa"/>
            </w:tcMar>
          </w:tcPr>
          <w:p>
            <w:r>
              <w:t>Unverified</w:t>
            </w:r>
          </w:p>
        </w:tc>
        <w:tc>
          <w:tcPr>
            <w:tcW w:type="dxa" w:w="2541"/>
            <w:tcMar>
              <w:top w:w="90" w:type="dxa"/>
              <w:start w:w="90" w:type="dxa"/>
              <w:bottom w:w="90" w:type="dxa"/>
              <w:end w:w="90" w:type="dxa"/>
            </w:tcMar>
          </w:tcPr>
          <w:p>
            <w:r>
              <w:t>Medium</w:t>
            </w:r>
          </w:p>
        </w:tc>
      </w:tr>
      <w:tr>
        <w:tc>
          <w:tcPr>
            <w:tcW w:type="dxa" w:w="2541"/>
            <w:tcMar>
              <w:top w:w="90" w:type="dxa"/>
              <w:start w:w="90" w:type="dxa"/>
              <w:bottom w:w="90" w:type="dxa"/>
              <w:end w:w="90" w:type="dxa"/>
            </w:tcMar>
          </w:tcPr>
          <w:p>
            <w:r>
              <w:t>Canonical domain strategy</w:t>
            </w:r>
          </w:p>
        </w:tc>
        <w:tc>
          <w:tcPr>
            <w:tcW w:type="dxa" w:w="2541"/>
            <w:tcMar>
              <w:top w:w="90" w:type="dxa"/>
              <w:start w:w="90" w:type="dxa"/>
              <w:bottom w:w="90" w:type="dxa"/>
              <w:end w:w="90" w:type="dxa"/>
            </w:tcMar>
          </w:tcPr>
          <w:p>
            <w:r>
              <w:t>Both .com and .org properties are publicly discoverable with overlapping content. [11][12]</w:t>
            </w:r>
          </w:p>
        </w:tc>
        <w:tc>
          <w:tcPr>
            <w:tcW w:type="dxa" w:w="2541"/>
            <w:tcMar>
              <w:top w:w="90" w:type="dxa"/>
              <w:start w:w="90" w:type="dxa"/>
              <w:bottom w:w="90" w:type="dxa"/>
              <w:end w:w="90" w:type="dxa"/>
            </w:tcMar>
          </w:tcPr>
          <w:p>
            <w:r>
              <w:t>Risk</w:t>
            </w:r>
          </w:p>
        </w:tc>
        <w:tc>
          <w:tcPr>
            <w:tcW w:type="dxa" w:w="2541"/>
            <w:tcMar>
              <w:top w:w="90" w:type="dxa"/>
              <w:start w:w="90" w:type="dxa"/>
              <w:bottom w:w="90" w:type="dxa"/>
              <w:end w:w="90" w:type="dxa"/>
            </w:tcMar>
          </w:tcPr>
          <w:p>
            <w:r>
              <w:t>Critical</w:t>
            </w:r>
          </w:p>
        </w:tc>
      </w:tr>
      <w:tr>
        <w:tc>
          <w:tcPr>
            <w:tcW w:type="dxa" w:w="2541"/>
            <w:tcMar>
              <w:top w:w="90" w:type="dxa"/>
              <w:start w:w="90" w:type="dxa"/>
              <w:bottom w:w="90" w:type="dxa"/>
              <w:end w:w="90" w:type="dxa"/>
            </w:tcMar>
          </w:tcPr>
          <w:p>
            <w:r>
              <w:t>Freshness</w:t>
            </w:r>
          </w:p>
        </w:tc>
        <w:tc>
          <w:tcPr>
            <w:tcW w:type="dxa" w:w="2541"/>
            <w:tcMar>
              <w:top w:w="90" w:type="dxa"/>
              <w:start w:w="90" w:type="dxa"/>
              <w:bottom w:w="90" w:type="dxa"/>
              <w:end w:w="90" w:type="dxa"/>
            </w:tcMar>
          </w:tcPr>
          <w:p>
            <w:r>
              <w:t>Blog contains a sustained run of 2026 articles. [8]</w:t>
            </w:r>
          </w:p>
        </w:tc>
        <w:tc>
          <w:tcPr>
            <w:tcW w:type="dxa" w:w="2541"/>
            <w:tcMar>
              <w:top w:w="90" w:type="dxa"/>
              <w:start w:w="90" w:type="dxa"/>
              <w:bottom w:w="90" w:type="dxa"/>
              <w:end w:w="90" w:type="dxa"/>
            </w:tcMar>
          </w:tcPr>
          <w:p>
            <w:r>
              <w:t>Pass</w:t>
            </w:r>
          </w:p>
        </w:tc>
        <w:tc>
          <w:tcPr>
            <w:tcW w:type="dxa" w:w="2541"/>
            <w:tcMar>
              <w:top w:w="90" w:type="dxa"/>
              <w:start w:w="90" w:type="dxa"/>
              <w:bottom w:w="90" w:type="dxa"/>
              <w:end w:w="90" w:type="dxa"/>
            </w:tcMar>
          </w:tcPr>
          <w:p>
            <w:r>
              <w:t>Keep, improve quality</w:t>
            </w:r>
          </w:p>
        </w:tc>
      </w:tr>
      <w:tr>
        <w:tc>
          <w:tcPr>
            <w:tcW w:type="dxa" w:w="2541"/>
            <w:tcMar>
              <w:top w:w="90" w:type="dxa"/>
              <w:start w:w="90" w:type="dxa"/>
              <w:bottom w:w="90" w:type="dxa"/>
              <w:end w:w="90" w:type="dxa"/>
            </w:tcMar>
          </w:tcPr>
          <w:p>
            <w:r>
              <w:t>Author attribution</w:t>
            </w:r>
          </w:p>
        </w:tc>
        <w:tc>
          <w:tcPr>
            <w:tcW w:type="dxa" w:w="2541"/>
            <w:tcMar>
              <w:top w:w="90" w:type="dxa"/>
              <w:start w:w="90" w:type="dxa"/>
              <w:bottom w:w="90" w:type="dxa"/>
              <w:end w:w="90" w:type="dxa"/>
            </w:tcMar>
          </w:tcPr>
          <w:p>
            <w:r>
              <w:t>Blog search results commonly identify “NetTech India” rather than named subject-matter authors. [8]</w:t>
            </w:r>
          </w:p>
        </w:tc>
        <w:tc>
          <w:tcPr>
            <w:tcW w:type="dxa" w:w="2541"/>
            <w:tcMar>
              <w:top w:w="90" w:type="dxa"/>
              <w:start w:w="90" w:type="dxa"/>
              <w:bottom w:w="90" w:type="dxa"/>
              <w:end w:w="90" w:type="dxa"/>
            </w:tcMar>
          </w:tcPr>
          <w:p>
            <w:r>
              <w:t>Weak</w:t>
            </w:r>
          </w:p>
        </w:tc>
        <w:tc>
          <w:tcPr>
            <w:tcW w:type="dxa" w:w="2541"/>
            <w:tcMar>
              <w:top w:w="90" w:type="dxa"/>
              <w:start w:w="90" w:type="dxa"/>
              <w:bottom w:w="90" w:type="dxa"/>
              <w:end w:w="90" w:type="dxa"/>
            </w:tcMar>
          </w:tcPr>
          <w:p>
            <w:r>
              <w:t>High</w:t>
            </w:r>
          </w:p>
        </w:tc>
      </w:tr>
      <w:tr>
        <w:tc>
          <w:tcPr>
            <w:tcW w:type="dxa" w:w="2541"/>
            <w:tcMar>
              <w:top w:w="90" w:type="dxa"/>
              <w:start w:w="90" w:type="dxa"/>
              <w:bottom w:w="90" w:type="dxa"/>
              <w:end w:w="90" w:type="dxa"/>
            </w:tcMar>
          </w:tcPr>
          <w:p>
            <w:r>
              <w:t>Evidence pages</w:t>
            </w:r>
          </w:p>
        </w:tc>
        <w:tc>
          <w:tcPr>
            <w:tcW w:type="dxa" w:w="2541"/>
            <w:tcMar>
              <w:top w:w="90" w:type="dxa"/>
              <w:start w:w="90" w:type="dxa"/>
              <w:bottom w:w="90" w:type="dxa"/>
              <w:end w:w="90" w:type="dxa"/>
            </w:tcMar>
          </w:tcPr>
          <w:p>
            <w:r>
              <w:t>Placement page contains named roles and employers, but outcome metrics remain light. [7]</w:t>
            </w:r>
          </w:p>
        </w:tc>
        <w:tc>
          <w:tcPr>
            <w:tcW w:type="dxa" w:w="2541"/>
            <w:tcMar>
              <w:top w:w="90" w:type="dxa"/>
              <w:start w:w="90" w:type="dxa"/>
              <w:bottom w:w="90" w:type="dxa"/>
              <w:end w:w="90" w:type="dxa"/>
            </w:tcMar>
          </w:tcPr>
          <w:p>
            <w:r>
              <w:t>Medium</w:t>
            </w:r>
          </w:p>
        </w:tc>
        <w:tc>
          <w:tcPr>
            <w:tcW w:type="dxa" w:w="2541"/>
            <w:tcMar>
              <w:top w:w="90" w:type="dxa"/>
              <w:start w:w="90" w:type="dxa"/>
              <w:bottom w:w="90" w:type="dxa"/>
              <w:end w:w="90" w:type="dxa"/>
            </w:tcMar>
          </w:tcPr>
          <w:p>
            <w:r>
              <w:t>High</w:t>
            </w:r>
          </w:p>
        </w:tc>
      </w:tr>
    </w:tbl>
    <w:p>
      <w:r>
        <w:rPr>
          <w:b/>
        </w:rPr>
        <w:t xml:space="preserve">Critical technical note: </w:t>
      </w:r>
      <w:r>
        <w:t>Google’s current documentation says Search Console now includes a Generative AI performance report for measuring visibility in Google’s generative AI features. [22] This is materially better than relying only on third-party “AI visibility scores.”</w:t>
      </w:r>
    </w:p>
    <w:p>
      <w:pPr>
        <w:pStyle w:val="Heading1"/>
      </w:pPr>
      <w:r>
        <w:t>7. What competitors are doing that NetTech should copy (not their marketing claims)</w:t>
      </w:r>
    </w:p>
    <w:tbl>
      <w:tblPr>
        <w:tblW w:type="auto" w:w="0"/>
        <w:jc w:val="center"/>
        <w:tblLook w:firstColumn="1" w:firstRow="1" w:lastColumn="0" w:lastRow="0" w:noHBand="0" w:noVBand="1" w:val="04A0"/>
      </w:tblPr>
      <w:tblGrid>
        <w:gridCol w:w="3389"/>
        <w:gridCol w:w="3389"/>
        <w:gridCol w:w="3389"/>
      </w:tblGrid>
      <w:tr>
        <w:tc>
          <w:tcPr>
            <w:tcW w:type="dxa" w:w="3389"/>
            <w:shd w:fill="374151"/>
            <w:tcMar>
              <w:top w:w="90" w:type="dxa"/>
              <w:start w:w="90" w:type="dxa"/>
              <w:bottom w:w="90" w:type="dxa"/>
              <w:end w:w="90" w:type="dxa"/>
            </w:tcMar>
          </w:tcPr>
          <w:p>
            <w:r>
              <w:rPr>
                <w:b/>
                <w:color w:val="FFFFFF"/>
              </w:rPr>
              <w:t>Competitor signal</w:t>
            </w:r>
          </w:p>
        </w:tc>
        <w:tc>
          <w:tcPr>
            <w:tcW w:type="dxa" w:w="3389"/>
            <w:shd w:fill="374151"/>
            <w:tcMar>
              <w:top w:w="90" w:type="dxa"/>
              <w:start w:w="90" w:type="dxa"/>
              <w:bottom w:w="90" w:type="dxa"/>
              <w:end w:w="90" w:type="dxa"/>
            </w:tcMar>
          </w:tcPr>
          <w:p>
            <w:r>
              <w:rPr>
                <w:b/>
                <w:color w:val="FFFFFF"/>
              </w:rPr>
              <w:t>Observed practice</w:t>
            </w:r>
          </w:p>
        </w:tc>
        <w:tc>
          <w:tcPr>
            <w:tcW w:type="dxa" w:w="3389"/>
            <w:shd w:fill="374151"/>
            <w:tcMar>
              <w:top w:w="90" w:type="dxa"/>
              <w:start w:w="90" w:type="dxa"/>
              <w:bottom w:w="90" w:type="dxa"/>
              <w:end w:w="90" w:type="dxa"/>
            </w:tcMar>
          </w:tcPr>
          <w:p>
            <w:r>
              <w:rPr>
                <w:b/>
                <w:color w:val="FFFFFF"/>
              </w:rPr>
              <w:t>NetTech adaptation</w:t>
            </w:r>
          </w:p>
        </w:tc>
      </w:tr>
      <w:tr>
        <w:tc>
          <w:tcPr>
            <w:tcW w:type="dxa" w:w="3389"/>
            <w:tcMar>
              <w:top w:w="90" w:type="dxa"/>
              <w:start w:w="90" w:type="dxa"/>
              <w:bottom w:w="90" w:type="dxa"/>
              <w:end w:w="90" w:type="dxa"/>
            </w:tcMar>
          </w:tcPr>
          <w:p>
            <w:r>
              <w:t>Awdiz</w:t>
            </w:r>
          </w:p>
        </w:tc>
        <w:tc>
          <w:tcPr>
            <w:tcW w:type="dxa" w:w="3389"/>
            <w:tcMar>
              <w:top w:w="90" w:type="dxa"/>
              <w:start w:w="90" w:type="dxa"/>
              <w:bottom w:w="90" w:type="dxa"/>
              <w:end w:w="90" w:type="dxa"/>
            </w:tcMar>
          </w:tcPr>
          <w:p>
            <w:r>
              <w:t>Publishes course-specific pages with duration, fees, upcoming batch dates, qualification and explicit tool/framework lists. [14][18]</w:t>
            </w:r>
          </w:p>
        </w:tc>
        <w:tc>
          <w:tcPr>
            <w:tcW w:type="dxa" w:w="3389"/>
            <w:tcMar>
              <w:top w:w="90" w:type="dxa"/>
              <w:start w:w="90" w:type="dxa"/>
              <w:bottom w:w="90" w:type="dxa"/>
              <w:end w:w="90" w:type="dxa"/>
            </w:tcMar>
          </w:tcPr>
          <w:p>
            <w:r>
              <w:t>Make course pages operational: duration, schedule, mode, fees range, eligibility, curriculum, projects, tools, trainer and placement process.</w:t>
            </w:r>
          </w:p>
        </w:tc>
      </w:tr>
      <w:tr>
        <w:tc>
          <w:tcPr>
            <w:tcW w:type="dxa" w:w="3389"/>
            <w:tcMar>
              <w:top w:w="90" w:type="dxa"/>
              <w:start w:w="90" w:type="dxa"/>
              <w:bottom w:w="90" w:type="dxa"/>
              <w:end w:w="90" w:type="dxa"/>
            </w:tcMar>
          </w:tcPr>
          <w:p>
            <w:r>
              <w:t>FITA Academy</w:t>
            </w:r>
          </w:p>
        </w:tc>
        <w:tc>
          <w:tcPr>
            <w:tcW w:type="dxa" w:w="3389"/>
            <w:tcMar>
              <w:top w:w="90" w:type="dxa"/>
              <w:start w:w="90" w:type="dxa"/>
              <w:bottom w:w="90" w:type="dxa"/>
              <w:end w:w="90" w:type="dxa"/>
            </w:tcMar>
          </w:tcPr>
          <w:p>
            <w:r>
              <w:t>Combines concrete batch dates, review/rating signals, students placed and hiring partners on AI course pages. [17]</w:t>
            </w:r>
          </w:p>
        </w:tc>
        <w:tc>
          <w:tcPr>
            <w:tcW w:type="dxa" w:w="3389"/>
            <w:tcMar>
              <w:top w:w="90" w:type="dxa"/>
              <w:start w:w="90" w:type="dxa"/>
              <w:bottom w:w="90" w:type="dxa"/>
              <w:end w:w="90" w:type="dxa"/>
            </w:tcMar>
          </w:tcPr>
          <w:p>
            <w:r>
              <w:t>Add verifiable, dated proof near the course decision point.</w:t>
            </w:r>
          </w:p>
        </w:tc>
      </w:tr>
      <w:tr>
        <w:tc>
          <w:tcPr>
            <w:tcW w:type="dxa" w:w="3389"/>
            <w:tcMar>
              <w:top w:w="90" w:type="dxa"/>
              <w:start w:w="90" w:type="dxa"/>
              <w:bottom w:w="90" w:type="dxa"/>
              <w:end w:w="90" w:type="dxa"/>
            </w:tcMar>
          </w:tcPr>
          <w:p>
            <w:r>
              <w:t>SevenMentor</w:t>
            </w:r>
          </w:p>
        </w:tc>
        <w:tc>
          <w:tcPr>
            <w:tcW w:type="dxa" w:w="3389"/>
            <w:tcMar>
              <w:top w:w="90" w:type="dxa"/>
              <w:start w:w="90" w:type="dxa"/>
              <w:bottom w:w="90" w:type="dxa"/>
              <w:end w:w="90" w:type="dxa"/>
            </w:tcMar>
          </w:tcPr>
          <w:p>
            <w:r>
              <w:t>Publishes upcoming batches and detailed practical project examples. [15]</w:t>
            </w:r>
          </w:p>
        </w:tc>
        <w:tc>
          <w:tcPr>
            <w:tcW w:type="dxa" w:w="3389"/>
            <w:tcMar>
              <w:top w:w="90" w:type="dxa"/>
              <w:start w:w="90" w:type="dxa"/>
              <w:bottom w:w="90" w:type="dxa"/>
              <w:end w:w="90" w:type="dxa"/>
            </w:tcMar>
          </w:tcPr>
          <w:p>
            <w:r>
              <w:t>Show project artefacts/use cases and current intake information.</w:t>
            </w:r>
          </w:p>
        </w:tc>
      </w:tr>
      <w:tr>
        <w:tc>
          <w:tcPr>
            <w:tcW w:type="dxa" w:w="3389"/>
            <w:tcMar>
              <w:top w:w="90" w:type="dxa"/>
              <w:start w:w="90" w:type="dxa"/>
              <w:bottom w:w="90" w:type="dxa"/>
              <w:end w:w="90" w:type="dxa"/>
            </w:tcMar>
          </w:tcPr>
          <w:p>
            <w:r>
              <w:t>IIDE</w:t>
            </w:r>
          </w:p>
        </w:tc>
        <w:tc>
          <w:tcPr>
            <w:tcW w:type="dxa" w:w="3389"/>
            <w:tcMar>
              <w:top w:w="90" w:type="dxa"/>
              <w:start w:w="90" w:type="dxa"/>
              <w:bottom w:w="90" w:type="dxa"/>
              <w:end w:w="90" w:type="dxa"/>
            </w:tcMar>
          </w:tcPr>
          <w:p>
            <w:r>
              <w:t>Uses explicit comparison positioning and a competitor table for AI-course queries. [19]</w:t>
            </w:r>
          </w:p>
        </w:tc>
        <w:tc>
          <w:tcPr>
            <w:tcW w:type="dxa" w:w="3389"/>
            <w:tcMar>
              <w:top w:w="90" w:type="dxa"/>
              <w:start w:w="90" w:type="dxa"/>
              <w:bottom w:w="90" w:type="dxa"/>
              <w:end w:w="90" w:type="dxa"/>
            </w:tcMar>
          </w:tcPr>
          <w:p>
            <w:r>
              <w:t>Create genuinely useful “how to choose” comparisons—not self-promotional listicles that simply declare NetTech #1.</w:t>
            </w:r>
          </w:p>
        </w:tc>
      </w:tr>
    </w:tbl>
    <w:p>
      <w:pPr>
        <w:pStyle w:val="Heading1"/>
      </w:pPr>
      <w:r>
        <w:t>8. Priority roadmap</w:t>
      </w:r>
    </w:p>
    <w:p>
      <w:pPr>
        <w:spacing w:before="100"/>
      </w:pPr>
      <w:r>
        <w:rPr>
          <w:b/>
        </w:rPr>
        <w:t>P0 — 0–14 days: Canonical/entity cleanup</w:t>
      </w:r>
    </w:p>
    <w:p>
      <w:pPr>
        <w:ind w:left="259"/>
      </w:pPr>
      <w:r>
        <w:t>Select .com as canonical; map every .org URL; 301 redirect where appropriate; update Google Business Profile, LinkedIn and all directory links; standardize name, phone, address, email and social handles; verify robots.txt and sitemap in Search Console; test representative pages in URL Inspection.</w:t>
      </w:r>
    </w:p>
    <w:p>
      <w:pPr>
        <w:spacing w:before="100"/>
      </w:pPr>
      <w:r>
        <w:rPr>
          <w:b/>
        </w:rPr>
        <w:t>P1 — 2–6 weeks: Evidence architecture</w:t>
      </w:r>
    </w:p>
    <w:p>
      <w:pPr>
        <w:ind w:left="259"/>
      </w:pPr>
      <w:r>
        <w:t>Create a Placement Outcomes hub with dated cohorts, role, city, course, employer, salary band where consented, and methodology; add trainer profiles; add course owners/authors; publish certification/partner evidence with exact scope.</w:t>
      </w:r>
    </w:p>
    <w:p>
      <w:pPr>
        <w:spacing w:before="100"/>
      </w:pPr>
      <w:r>
        <w:rPr>
          <w:b/>
        </w:rPr>
        <w:t>P2 — 3–8 weeks: High-intent answer content</w:t>
      </w:r>
    </w:p>
    <w:p>
      <w:pPr>
        <w:ind w:left="259"/>
      </w:pPr>
      <w:r>
        <w:t>Build topic clusters around “best course”, “course fees”, “duration”, “eligibility”, “jobs after X”, “X vs Y”, “course near me”, and “freshers” queries. Each page should answer the core question directly, then support it with original evidence.</w:t>
      </w:r>
    </w:p>
    <w:p>
      <w:pPr>
        <w:spacing w:before="100"/>
      </w:pPr>
      <w:r>
        <w:rPr>
          <w:b/>
        </w:rPr>
        <w:t>P3 — 1–3 months: Authority / presence</w:t>
      </w:r>
    </w:p>
    <w:p>
      <w:pPr>
        <w:ind w:left="259"/>
      </w:pPr>
      <w:r>
        <w:t>Earn independent mentions through alumni stories, employer partnerships, local education publications, legitimate reviews and professional interviews. Create expert-authored LinkedIn articles and YouTube episodes whose transcripts reinforce key topics.</w:t>
      </w:r>
    </w:p>
    <w:p>
      <w:pPr>
        <w:spacing w:before="100"/>
      </w:pPr>
      <w:r>
        <w:rPr>
          <w:b/>
        </w:rPr>
        <w:t>P4 — ongoing: Measurement</w:t>
      </w:r>
    </w:p>
    <w:p>
      <w:pPr>
        <w:ind w:left="259"/>
      </w:pPr>
      <w:r>
        <w:t>Track Search Console generative AI performance, organic clicks/impressions, conversions, branded-search growth and a repeatable 20–30 query AI-answer benchmark. Run 3–5 samples per AI platform per query before treating a change as meaningful, following the uploaded framework’s measurement caution. [21]</w:t>
      </w:r>
    </w:p>
    <w:p>
      <w:pPr>
        <w:pStyle w:val="Heading1"/>
      </w:pPr>
      <w:r>
        <w:t>9. The content architecture I would build for NetTech</w:t>
      </w:r>
    </w:p>
    <w:tbl>
      <w:tblPr>
        <w:tblW w:type="auto" w:w="0"/>
        <w:jc w:val="center"/>
        <w:tblLook w:firstColumn="1" w:firstRow="1" w:lastColumn="0" w:lastRow="0" w:noHBand="0" w:noVBand="1" w:val="04A0"/>
      </w:tblPr>
      <w:tblGrid>
        <w:gridCol w:w="5083"/>
        <w:gridCol w:w="5083"/>
      </w:tblGrid>
      <w:tr>
        <w:tc>
          <w:tcPr>
            <w:tcW w:type="dxa" w:w="5083"/>
            <w:shd w:fill="374151"/>
            <w:tcMar>
              <w:top w:w="90" w:type="dxa"/>
              <w:start w:w="90" w:type="dxa"/>
              <w:bottom w:w="90" w:type="dxa"/>
              <w:end w:w="90" w:type="dxa"/>
            </w:tcMar>
          </w:tcPr>
          <w:p>
            <w:r>
              <w:rPr>
                <w:b/>
                <w:color w:val="FFFFFF"/>
              </w:rPr>
              <w:t>Asset</w:t>
            </w:r>
          </w:p>
        </w:tc>
        <w:tc>
          <w:tcPr>
            <w:tcW w:type="dxa" w:w="5083"/>
            <w:shd w:fill="374151"/>
            <w:tcMar>
              <w:top w:w="90" w:type="dxa"/>
              <w:start w:w="90" w:type="dxa"/>
              <w:bottom w:w="90" w:type="dxa"/>
              <w:end w:w="90" w:type="dxa"/>
            </w:tcMar>
          </w:tcPr>
          <w:p>
            <w:r>
              <w:rPr>
                <w:b/>
                <w:color w:val="FFFFFF"/>
              </w:rPr>
              <w:t>Recommended contents</w:t>
            </w:r>
          </w:p>
        </w:tc>
      </w:tr>
      <w:tr>
        <w:tc>
          <w:tcPr>
            <w:tcW w:type="dxa" w:w="5083"/>
            <w:tcMar>
              <w:top w:w="90" w:type="dxa"/>
              <w:start w:w="90" w:type="dxa"/>
              <w:bottom w:w="90" w:type="dxa"/>
              <w:end w:w="90" w:type="dxa"/>
            </w:tcMar>
          </w:tcPr>
          <w:p>
            <w:r>
              <w:t>“Data Analytics Course in Thane: Fees, Duration, Syllabus &amp; Jobs (2026)”</w:t>
            </w:r>
          </w:p>
        </w:tc>
        <w:tc>
          <w:tcPr>
            <w:tcW w:type="dxa" w:w="5083"/>
            <w:tcMar>
              <w:top w:w="90" w:type="dxa"/>
              <w:start w:w="90" w:type="dxa"/>
              <w:bottom w:w="90" w:type="dxa"/>
              <w:end w:w="90" w:type="dxa"/>
            </w:tcMar>
          </w:tcPr>
          <w:p>
            <w:r>
              <w:t>One canonical commercial page with current fee range, batch dates, tools, project examples, eligibility, trainer profile, placement-assistance steps, independently verifiable student outcomes, FAQs and last-updated date.</w:t>
            </w:r>
          </w:p>
        </w:tc>
      </w:tr>
      <w:tr>
        <w:tc>
          <w:tcPr>
            <w:tcW w:type="dxa" w:w="5083"/>
            <w:tcMar>
              <w:top w:w="90" w:type="dxa"/>
              <w:start w:w="90" w:type="dxa"/>
              <w:bottom w:w="90" w:type="dxa"/>
              <w:end w:w="90" w:type="dxa"/>
            </w:tcMar>
          </w:tcPr>
          <w:p>
            <w:r>
              <w:t>“NetTech India Placement Outcomes: 2025–26 Cohort”</w:t>
            </w:r>
          </w:p>
        </w:tc>
        <w:tc>
          <w:tcPr>
            <w:tcW w:type="dxa" w:w="5083"/>
            <w:tcMar>
              <w:top w:w="90" w:type="dxa"/>
              <w:start w:w="90" w:type="dxa"/>
              <w:bottom w:w="90" w:type="dxa"/>
              <w:end w:w="90" w:type="dxa"/>
            </w:tcMar>
          </w:tcPr>
          <w:p>
            <w:r>
              <w:t>A transparent outcome dataset: role, employer, course, graduation date, location, and salary band where student consent exists. Explain what “placement assistance” means and what is not guaranteed.</w:t>
            </w:r>
          </w:p>
        </w:tc>
      </w:tr>
      <w:tr>
        <w:tc>
          <w:tcPr>
            <w:tcW w:type="dxa" w:w="5083"/>
            <w:tcMar>
              <w:top w:w="90" w:type="dxa"/>
              <w:start w:w="90" w:type="dxa"/>
              <w:bottom w:w="90" w:type="dxa"/>
              <w:end w:w="90" w:type="dxa"/>
            </w:tcMar>
          </w:tcPr>
          <w:p>
            <w:r>
              <w:t>“How to Choose an IT Training Institute in Mumbai/Thane”</w:t>
            </w:r>
          </w:p>
        </w:tc>
        <w:tc>
          <w:tcPr>
            <w:tcW w:type="dxa" w:w="5083"/>
            <w:tcMar>
              <w:top w:w="90" w:type="dxa"/>
              <w:start w:w="90" w:type="dxa"/>
              <w:bottom w:w="90" w:type="dxa"/>
              <w:end w:w="90" w:type="dxa"/>
            </w:tcMar>
          </w:tcPr>
          <w:p>
            <w:r>
              <w:t>Independent decision guide: curriculum, lab access, trainer experience, project work, certification, placement assistance, fees, batch size and reviews. Mention NetTech only where it objectively meets the criteria.</w:t>
            </w:r>
          </w:p>
        </w:tc>
      </w:tr>
      <w:tr>
        <w:tc>
          <w:tcPr>
            <w:tcW w:type="dxa" w:w="5083"/>
            <w:tcMar>
              <w:top w:w="90" w:type="dxa"/>
              <w:start w:w="90" w:type="dxa"/>
              <w:bottom w:w="90" w:type="dxa"/>
              <w:end w:w="90" w:type="dxa"/>
            </w:tcMar>
          </w:tcPr>
          <w:p>
            <w:r>
              <w:t>“NetTech India Trainer Directory”</w:t>
            </w:r>
          </w:p>
        </w:tc>
        <w:tc>
          <w:tcPr>
            <w:tcW w:type="dxa" w:w="5083"/>
            <w:tcMar>
              <w:top w:w="90" w:type="dxa"/>
              <w:start w:w="90" w:type="dxa"/>
              <w:bottom w:w="90" w:type="dxa"/>
              <w:end w:w="90" w:type="dxa"/>
            </w:tcMar>
          </w:tcPr>
          <w:p>
            <w:r>
              <w:t>Named trainers with current role, industry experience, technologies taught, certifications and authored resources. This directly improves expertise/entity attribution.</w:t>
            </w:r>
          </w:p>
        </w:tc>
      </w:tr>
      <w:tr>
        <w:tc>
          <w:tcPr>
            <w:tcW w:type="dxa" w:w="5083"/>
            <w:tcMar>
              <w:top w:w="90" w:type="dxa"/>
              <w:start w:w="90" w:type="dxa"/>
              <w:bottom w:w="90" w:type="dxa"/>
              <w:end w:w="90" w:type="dxa"/>
            </w:tcMar>
          </w:tcPr>
          <w:p>
            <w:r>
              <w:t>“Course Comparison Hub”</w:t>
            </w:r>
          </w:p>
        </w:tc>
        <w:tc>
          <w:tcPr>
            <w:tcW w:type="dxa" w:w="5083"/>
            <w:tcMar>
              <w:top w:w="90" w:type="dxa"/>
              <w:start w:w="90" w:type="dxa"/>
              <w:bottom w:w="90" w:type="dxa"/>
              <w:end w:w="90" w:type="dxa"/>
            </w:tcMar>
          </w:tcPr>
          <w:p>
            <w:r>
              <w:t>Useful comparisons such as Data Analytics vs Data Science, Power BI vs Tableau, AWS vs Azure, SOC vs GRC. Avoid shallow “NetTech is best” conclusions; use criteria and evidence.</w:t>
            </w:r>
          </w:p>
        </w:tc>
      </w:tr>
    </w:tbl>
    <w:p>
      <w:pPr>
        <w:pStyle w:val="Heading1"/>
      </w:pPr>
      <w:r>
        <w:t>10. Bottom-line verdict</w:t>
      </w:r>
    </w:p>
    <w:p>
      <w:r>
        <w:rPr>
          <w:b/>
        </w:rPr>
        <w:t xml:space="preserve">NetTech India is not starting from zero. </w:t>
      </w:r>
      <w:r>
        <w:t>Its website already has the structural ingredients that many smaller training brands lack: broad topical coverage, local pages, course-specific pages, placement content, active publishing and a visible company entity on LinkedIn. [1][7][8][9]</w:t>
      </w:r>
    </w:p>
    <w:p>
      <w:r>
        <w:rPr>
          <w:b/>
        </w:rPr>
        <w:t xml:space="preserve">The fastest route to stronger AI visibility is therefore not “more blog posts.” </w:t>
      </w:r>
      <w:r>
        <w:t>It is to make the existing claims easier to verify, make the entity cleaner, and make the expertise human and attributable. The single highest-priority technical task is consolidating the .com/.org footprint. The single highest-priority content task is converting placement and training claims into dated, transparent, evidence-rich first-party information. The single highest-priority authority task is increasing independent corroboration.</w:t>
      </w:r>
    </w:p>
    <w:p>
      <w:r>
        <w:rPr>
          <w:b/>
        </w:rPr>
        <w:t xml:space="preserve">Expected strategic effect: </w:t>
      </w:r>
      <w:r>
        <w:t>better eligibility for conventional search, better extraction into AI answers, stronger brand/entity disambiguation, and—most importantly—greater likelihood that an AI system can confidently recommend NetTech rather than merely mention it.</w:t>
      </w:r>
    </w:p>
    <w:p>
      <w:pPr>
        <w:pStyle w:val="Heading1"/>
      </w:pPr>
      <w:r>
        <w:t>Sources &amp; evidence</w:t>
      </w:r>
    </w:p>
    <w:p>
      <w:pPr>
        <w:spacing w:after="40"/>
      </w:pPr>
      <w:r>
        <w:rPr>
          <w:sz w:val="17"/>
        </w:rPr>
        <w:t xml:space="preserve">[1] NetTech India, “About NetTech India” and main site pages, accessed/crawled September 2026. </w:t>
      </w:r>
      <w:hyperlink r:id="rId9">
        <w:r>
          <w:rPr>
            <w:color w:val="0563C1"/>
            <w:u w:val="single"/>
          </w:rPr>
          <w:t>https://www.nettechindia.com/about-us</w:t>
        </w:r>
      </w:hyperlink>
    </w:p>
    <w:p>
      <w:pPr>
        <w:spacing w:after="40"/>
      </w:pPr>
      <w:r>
        <w:rPr>
          <w:sz w:val="17"/>
        </w:rPr>
        <w:t xml:space="preserve">[2] NetTech India, “Contact Us,” branch information. </w:t>
      </w:r>
      <w:hyperlink r:id="rId10">
        <w:r>
          <w:rPr>
            <w:color w:val="0563C1"/>
            <w:u w:val="single"/>
          </w:rPr>
          <w:t>https://www.nettechindia.com/contact-us</w:t>
        </w:r>
      </w:hyperlink>
    </w:p>
    <w:p>
      <w:pPr>
        <w:spacing w:after="40"/>
      </w:pPr>
      <w:r>
        <w:rPr>
          <w:sz w:val="17"/>
        </w:rPr>
        <w:t xml:space="preserve">[3] NetTech India, branch pages and location evidence. </w:t>
      </w:r>
      <w:hyperlink r:id="rId11">
        <w:r>
          <w:rPr>
            <w:color w:val="0563C1"/>
            <w:u w:val="single"/>
          </w:rPr>
          <w:t>https://www.nettechindia.com/nettechindia-thane</w:t>
        </w:r>
      </w:hyperlink>
    </w:p>
    <w:p>
      <w:pPr>
        <w:spacing w:after="40"/>
      </w:pPr>
      <w:r>
        <w:rPr>
          <w:sz w:val="17"/>
        </w:rPr>
        <w:t xml:space="preserve">[4] NetTech India, “Data Analytics Course with AI.” </w:t>
      </w:r>
      <w:hyperlink r:id="rId12">
        <w:r>
          <w:rPr>
            <w:color w:val="0563C1"/>
            <w:u w:val="single"/>
          </w:rPr>
          <w:t>https://www.nettechindia.com/data-analytics-course</w:t>
        </w:r>
      </w:hyperlink>
    </w:p>
    <w:p>
      <w:pPr>
        <w:spacing w:after="40"/>
      </w:pPr>
      <w:r>
        <w:rPr>
          <w:sz w:val="17"/>
        </w:rPr>
        <w:t xml:space="preserve">[5] NetTech India, “Advanced Data Science Course with AI Skills.” </w:t>
      </w:r>
      <w:hyperlink r:id="rId13">
        <w:r>
          <w:rPr>
            <w:color w:val="0563C1"/>
            <w:u w:val="single"/>
          </w:rPr>
          <w:t>https://www.nettechindia.com/data-science-course</w:t>
        </w:r>
      </w:hyperlink>
    </w:p>
    <w:p>
      <w:pPr>
        <w:spacing w:after="40"/>
      </w:pPr>
      <w:r>
        <w:rPr>
          <w:sz w:val="17"/>
        </w:rPr>
        <w:t xml:space="preserve">[6] NetTech India, software/cloud/cyber course pages. </w:t>
      </w:r>
      <w:hyperlink r:id="rId14">
        <w:r>
          <w:rPr>
            <w:color w:val="0563C1"/>
            <w:u w:val="single"/>
          </w:rPr>
          <w:t>https://www.nettechindia.com/software-courses</w:t>
        </w:r>
      </w:hyperlink>
    </w:p>
    <w:p>
      <w:pPr>
        <w:spacing w:after="40"/>
      </w:pPr>
      <w:r>
        <w:rPr>
          <w:sz w:val="17"/>
        </w:rPr>
        <w:t xml:space="preserve">[7] NetTech India, “Placements | Student Success Stories.” </w:t>
      </w:r>
      <w:hyperlink r:id="rId15">
        <w:r>
          <w:rPr>
            <w:color w:val="0563C1"/>
            <w:u w:val="single"/>
          </w:rPr>
          <w:t>https://www.nettechindia.com/placements</w:t>
        </w:r>
      </w:hyperlink>
    </w:p>
    <w:p>
      <w:pPr>
        <w:spacing w:after="40"/>
      </w:pPr>
      <w:r>
        <w:rPr>
          <w:sz w:val="17"/>
        </w:rPr>
        <w:t xml:space="preserve">[8] NetTech India, blog archive and 2026 editorial posts. </w:t>
      </w:r>
      <w:hyperlink r:id="rId16">
        <w:r>
          <w:rPr>
            <w:color w:val="0563C1"/>
            <w:u w:val="single"/>
          </w:rPr>
          <w:t>https://www.nettechindia.com/blog/</w:t>
        </w:r>
      </w:hyperlink>
    </w:p>
    <w:p>
      <w:pPr>
        <w:spacing w:after="40"/>
      </w:pPr>
      <w:r>
        <w:rPr>
          <w:sz w:val="17"/>
        </w:rPr>
        <w:t xml:space="preserve">[9] NetTech India, LinkedIn company profile, accessed September 2026. </w:t>
      </w:r>
      <w:hyperlink r:id="rId17">
        <w:r>
          <w:rPr>
            <w:color w:val="0563C1"/>
            <w:u w:val="single"/>
          </w:rPr>
          <w:t>https://in.linkedin.com/company/nettechindiainmumbai1</w:t>
        </w:r>
      </w:hyperlink>
    </w:p>
    <w:p>
      <w:pPr>
        <w:spacing w:after="40"/>
      </w:pPr>
      <w:r>
        <w:rPr>
          <w:sz w:val="17"/>
        </w:rPr>
        <w:t xml:space="preserve">[10] Collegedunia, Nettech India Thane Google Reviews aggregation. </w:t>
      </w:r>
      <w:hyperlink r:id="rId18">
        <w:r>
          <w:rPr>
            <w:color w:val="0563C1"/>
            <w:u w:val="single"/>
          </w:rPr>
          <w:t>https://collegedunia.com/institute/1280-nettech-india-thane/google-reviews</w:t>
        </w:r>
      </w:hyperlink>
    </w:p>
    <w:p>
      <w:pPr>
        <w:spacing w:after="40"/>
      </w:pPr>
      <w:r>
        <w:rPr>
          <w:sz w:val="17"/>
        </w:rPr>
        <w:t xml:space="preserve">[11] NetTech India .org homepage, publicly discoverable legacy/parallel domain. </w:t>
      </w:r>
      <w:hyperlink r:id="rId19">
        <w:r>
          <w:rPr>
            <w:color w:val="0563C1"/>
            <w:u w:val="single"/>
          </w:rPr>
          <w:t>https://www.nettechindia.org/</w:t>
        </w:r>
      </w:hyperlink>
    </w:p>
    <w:p>
      <w:pPr>
        <w:spacing w:after="40"/>
      </w:pPr>
      <w:r>
        <w:rPr>
          <w:sz w:val="17"/>
        </w:rPr>
        <w:t xml:space="preserve">[12] NetTech India .org About page, overlapping business/course/location content. </w:t>
      </w:r>
      <w:hyperlink r:id="rId20">
        <w:r>
          <w:rPr>
            <w:color w:val="0563C1"/>
            <w:u w:val="single"/>
          </w:rPr>
          <w:t>https://www.nettechindia.org/about-us</w:t>
        </w:r>
      </w:hyperlink>
    </w:p>
    <w:p>
      <w:pPr>
        <w:spacing w:after="40"/>
      </w:pPr>
      <w:r>
        <w:rPr>
          <w:sz w:val="17"/>
        </w:rPr>
        <w:t xml:space="preserve">[13] Current search results for AI/data training in Mumbai, including competitor result pages. </w:t>
      </w:r>
      <w:hyperlink r:id="rId21">
        <w:r>
          <w:rPr>
            <w:color w:val="0563C1"/>
            <w:u w:val="single"/>
          </w:rPr>
          <w:t>https://www.fita.in/artificial-intelligence-course-in-mumbai/</w:t>
        </w:r>
      </w:hyperlink>
    </w:p>
    <w:p>
      <w:pPr>
        <w:spacing w:after="40"/>
      </w:pPr>
      <w:r>
        <w:rPr>
          <w:sz w:val="17"/>
        </w:rPr>
        <w:t xml:space="preserve">[14] Awdiz, Data Analytics Course in Thane. </w:t>
      </w:r>
      <w:hyperlink r:id="rId22">
        <w:r>
          <w:rPr>
            <w:color w:val="0563C1"/>
            <w:u w:val="single"/>
          </w:rPr>
          <w:t>https://www.awdiz.in/data-analytics-course-in-thane</w:t>
        </w:r>
      </w:hyperlink>
    </w:p>
    <w:p>
      <w:pPr>
        <w:spacing w:after="40"/>
      </w:pPr>
      <w:r>
        <w:rPr>
          <w:sz w:val="17"/>
        </w:rPr>
        <w:t xml:space="preserve">[15] SevenMentor, Data Analytics / AI course pages and project examples. </w:t>
      </w:r>
      <w:hyperlink r:id="rId23">
        <w:r>
          <w:rPr>
            <w:color w:val="0563C1"/>
            <w:u w:val="single"/>
          </w:rPr>
          <w:t>https://www.sevenmentor.com/data-analytics-classes-in-thane</w:t>
        </w:r>
      </w:hyperlink>
    </w:p>
    <w:p>
      <w:pPr>
        <w:spacing w:after="40"/>
      </w:pPr>
      <w:r>
        <w:rPr>
          <w:sz w:val="17"/>
        </w:rPr>
        <w:t xml:space="preserve">[16] iTrainU, “Best IT Training Institute in Thane | 2026 Career Roadmap.” </w:t>
      </w:r>
      <w:hyperlink r:id="rId24">
        <w:r>
          <w:rPr>
            <w:color w:val="0563C1"/>
            <w:u w:val="single"/>
          </w:rPr>
          <w:t>https://www.itrainu.in/looking-for-the-best-it-training-institute-in-thane-your-complete-2026-career-roadmap/</w:t>
        </w:r>
      </w:hyperlink>
    </w:p>
    <w:p>
      <w:pPr>
        <w:spacing w:after="40"/>
      </w:pPr>
      <w:r>
        <w:rPr>
          <w:sz w:val="17"/>
        </w:rPr>
        <w:t xml:space="preserve">[17] FITA Academy, AI Course in Mumbai. </w:t>
      </w:r>
      <w:hyperlink r:id="rId21">
        <w:r>
          <w:rPr>
            <w:color w:val="0563C1"/>
            <w:u w:val="single"/>
          </w:rPr>
          <w:t>https://www.fita.in/artificial-intelligence-course-in-mumbai/</w:t>
        </w:r>
      </w:hyperlink>
    </w:p>
    <w:p>
      <w:pPr>
        <w:spacing w:after="40"/>
      </w:pPr>
      <w:r>
        <w:rPr>
          <w:sz w:val="17"/>
        </w:rPr>
        <w:t xml:space="preserve">[18] Awdiz, AI Course in Mumbai. </w:t>
      </w:r>
      <w:hyperlink r:id="rId25">
        <w:r>
          <w:rPr>
            <w:color w:val="0563C1"/>
            <w:u w:val="single"/>
          </w:rPr>
          <w:t>https://www.awdiz.in/ai-course-in-mumbai</w:t>
        </w:r>
      </w:hyperlink>
    </w:p>
    <w:p>
      <w:pPr>
        <w:spacing w:after="40"/>
      </w:pPr>
      <w:r>
        <w:rPr>
          <w:sz w:val="17"/>
        </w:rPr>
        <w:t xml:space="preserve">[19] IIDE, Best AI Courses in Mumbai 2026. </w:t>
      </w:r>
      <w:hyperlink r:id="rId26">
        <w:r>
          <w:rPr>
            <w:color w:val="0563C1"/>
            <w:u w:val="single"/>
          </w:rPr>
          <w:t>https://iide.co/ai-courses/mumbai/</w:t>
        </w:r>
      </w:hyperlink>
    </w:p>
    <w:p>
      <w:pPr>
        <w:spacing w:after="40"/>
      </w:pPr>
      <w:r>
        <w:rPr>
          <w:sz w:val="17"/>
        </w:rPr>
        <w:t xml:space="preserve">[20] NetTech India, SOC Analyst / cybersecurity course evidence. </w:t>
      </w:r>
      <w:hyperlink r:id="rId27">
        <w:r>
          <w:rPr>
            <w:color w:val="0563C1"/>
            <w:u w:val="single"/>
          </w:rPr>
          <w:t>https://www.nettechindia.com/soc-analyst-training-in-mumbai</w:t>
        </w:r>
      </w:hyperlink>
    </w:p>
    <w:p>
      <w:pPr>
        <w:spacing w:after="40"/>
      </w:pPr>
      <w:r>
        <w:rPr>
          <w:sz w:val="17"/>
        </w:rPr>
        <w:t xml:space="preserve">[21] Uploaded AI-SEO framework, lines 112–170 and 174–412; used as requested background framework. </w:t>
      </w:r>
      <w:hyperlink r:id="rId28">
        <w:r>
          <w:rPr>
            <w:color w:val="0563C1"/>
            <w:u w:val="single"/>
          </w:rPr>
          <w:t>Uploaded attachment: Pasted markdown(2).md</w:t>
        </w:r>
      </w:hyperlink>
    </w:p>
    <w:p>
      <w:pPr>
        <w:spacing w:after="40"/>
      </w:pPr>
      <w:r>
        <w:rPr>
          <w:sz w:val="17"/>
        </w:rPr>
        <w:t xml:space="preserve">[22] Google Search Central, “Optimizing your website for generative AI features on Google Search,” 2026. </w:t>
      </w:r>
      <w:hyperlink r:id="rId29">
        <w:r>
          <w:rPr>
            <w:color w:val="0563C1"/>
            <w:u w:val="single"/>
          </w:rPr>
          <w:t>https://developers.google.com/search/docs/fundamentals/ai-optimization-guide</w:t>
        </w:r>
      </w:hyperlink>
    </w:p>
    <w:p>
      <w:pPr>
        <w:spacing w:after="40"/>
      </w:pPr>
      <w:r>
        <w:rPr>
          <w:sz w:val="17"/>
        </w:rPr>
        <w:t xml:space="preserve">[23] Google Search Central, “AI features and your website.” </w:t>
      </w:r>
      <w:hyperlink r:id="rId30">
        <w:r>
          <w:rPr>
            <w:color w:val="0563C1"/>
            <w:u w:val="single"/>
          </w:rPr>
          <w:t>https://developers.google.com/search/docs/appearance/ai-features</w:t>
        </w:r>
      </w:hyperlink>
    </w:p>
    <w:p>
      <w:pPr>
        <w:spacing w:after="40"/>
      </w:pPr>
      <w:r>
        <w:rPr>
          <w:sz w:val="17"/>
        </w:rPr>
        <w:t xml:space="preserve">[24] MouthShut, NetTech India Thane review listing. </w:t>
      </w:r>
      <w:hyperlink r:id="rId31">
        <w:r>
          <w:rPr>
            <w:color w:val="0563C1"/>
            <w:u w:val="single"/>
          </w:rPr>
          <w:t>https://www.mouthshut.com/review/nettech-india-thane-review-urqtupmqpso</w:t>
        </w:r>
      </w:hyperlink>
    </w:p>
    <w:p>
      <w:pPr>
        <w:spacing w:after="40"/>
      </w:pPr>
      <w:r>
        <w:rPr>
          <w:sz w:val="17"/>
        </w:rPr>
        <w:t xml:space="preserve">[25] ConsumerComplaints.in, public complaint concerning NetTech India. </w:t>
      </w:r>
      <w:hyperlink r:id="rId32">
        <w:r>
          <w:rPr>
            <w:color w:val="0563C1"/>
            <w:u w:val="single"/>
          </w:rPr>
          <w:t>https://www.consumercomplaints.in/net-tech-india-institute-course-of-data-analytics-and-data-scientiest-c3522599</w:t>
        </w:r>
      </w:hyperlink>
    </w:p>
    <w:p>
      <w:pPr>
        <w:spacing w:before="160"/>
      </w:pPr>
      <w:r>
        <w:rPr>
          <w:b/>
        </w:rPr>
        <w:t xml:space="preserve">Evidence note: </w:t>
      </w:r>
      <w:r>
        <w:t>All current web facts in this report are tied to the cited public sources. Where direct technical inspection was unavailable (for example, robots.txt or page-level schema), the report marks the item unverified rather than assuming a result.</w:t>
      </w:r>
    </w:p>
    <w:p>
      <w:pPr>
        <w:spacing w:before="160" w:after="0"/>
      </w:pPr>
      <w:r>
        <w:t>Report structure: Executive assessment → Entity footprint → Query visibility → AI-SEO framework → Authority → Technical audit → Competitors → Roadmap → Content architecture → Sources.</w:t>
      </w:r>
    </w:p>
    <w:sectPr w:rsidR="00FC693F" w:rsidRPr="0006063C" w:rsidSect="00034616">
      <w:footerReference w:type="default" r:id="rId3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NetTech India | AI Search Visibility Audit | 10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ttechindia.com/about-us" TargetMode="External"/><Relationship Id="rId10" Type="http://schemas.openxmlformats.org/officeDocument/2006/relationships/hyperlink" Target="https://www.nettechindia.com/contact-us" TargetMode="External"/><Relationship Id="rId11" Type="http://schemas.openxmlformats.org/officeDocument/2006/relationships/hyperlink" Target="https://www.nettechindia.com/nettechindia-thane" TargetMode="External"/><Relationship Id="rId12" Type="http://schemas.openxmlformats.org/officeDocument/2006/relationships/hyperlink" Target="https://www.nettechindia.com/data-analytics-course" TargetMode="External"/><Relationship Id="rId13" Type="http://schemas.openxmlformats.org/officeDocument/2006/relationships/hyperlink" Target="https://www.nettechindia.com/data-science-course" TargetMode="External"/><Relationship Id="rId14" Type="http://schemas.openxmlformats.org/officeDocument/2006/relationships/hyperlink" Target="https://www.nettechindia.com/software-courses" TargetMode="External"/><Relationship Id="rId15" Type="http://schemas.openxmlformats.org/officeDocument/2006/relationships/hyperlink" Target="https://www.nettechindia.com/placements" TargetMode="External"/><Relationship Id="rId16" Type="http://schemas.openxmlformats.org/officeDocument/2006/relationships/hyperlink" Target="https://www.nettechindia.com/blog/" TargetMode="External"/><Relationship Id="rId17" Type="http://schemas.openxmlformats.org/officeDocument/2006/relationships/hyperlink" Target="https://in.linkedin.com/company/nettechindiainmumbai1" TargetMode="External"/><Relationship Id="rId18" Type="http://schemas.openxmlformats.org/officeDocument/2006/relationships/hyperlink" Target="https://collegedunia.com/institute/1280-nettech-india-thane/google-reviews" TargetMode="External"/><Relationship Id="rId19" Type="http://schemas.openxmlformats.org/officeDocument/2006/relationships/hyperlink" Target="https://www.nettechindia.org/" TargetMode="External"/><Relationship Id="rId20" Type="http://schemas.openxmlformats.org/officeDocument/2006/relationships/hyperlink" Target="https://www.nettechindia.org/about-us" TargetMode="External"/><Relationship Id="rId21" Type="http://schemas.openxmlformats.org/officeDocument/2006/relationships/hyperlink" Target="https://www.fita.in/artificial-intelligence-course-in-mumbai/" TargetMode="External"/><Relationship Id="rId22" Type="http://schemas.openxmlformats.org/officeDocument/2006/relationships/hyperlink" Target="https://www.awdiz.in/data-analytics-course-in-thane" TargetMode="External"/><Relationship Id="rId23" Type="http://schemas.openxmlformats.org/officeDocument/2006/relationships/hyperlink" Target="https://www.sevenmentor.com/data-analytics-classes-in-thane" TargetMode="External"/><Relationship Id="rId24" Type="http://schemas.openxmlformats.org/officeDocument/2006/relationships/hyperlink" Target="https://www.itrainu.in/looking-for-the-best-it-training-institute-in-thane-your-complete-2026-career-roadmap/" TargetMode="External"/><Relationship Id="rId25" Type="http://schemas.openxmlformats.org/officeDocument/2006/relationships/hyperlink" Target="https://www.awdiz.in/ai-course-in-mumbai" TargetMode="External"/><Relationship Id="rId26" Type="http://schemas.openxmlformats.org/officeDocument/2006/relationships/hyperlink" Target="https://iide.co/ai-courses/mumbai/" TargetMode="External"/><Relationship Id="rId27" Type="http://schemas.openxmlformats.org/officeDocument/2006/relationships/hyperlink" Target="https://www.nettechindia.com/soc-analyst-training-in-mumbai" TargetMode="External"/><Relationship Id="rId28" Type="http://schemas.openxmlformats.org/officeDocument/2006/relationships/hyperlink" Target="Uploaded attachment: Pasted markdown(2).md" TargetMode="External"/><Relationship Id="rId29" Type="http://schemas.openxmlformats.org/officeDocument/2006/relationships/hyperlink" Target="https://developers.google.com/search/docs/fundamentals/ai-optimization-guide" TargetMode="External"/><Relationship Id="rId30" Type="http://schemas.openxmlformats.org/officeDocument/2006/relationships/hyperlink" Target="https://developers.google.com/search/docs/appearance/ai-features" TargetMode="External"/><Relationship Id="rId31" Type="http://schemas.openxmlformats.org/officeDocument/2006/relationships/hyperlink" Target="https://www.mouthshut.com/review/nettech-india-thane-review-urqtupmqpso" TargetMode="External"/><Relationship Id="rId32" Type="http://schemas.openxmlformats.org/officeDocument/2006/relationships/hyperlink" Target="https://www.consumercomplaints.in/net-tech-india-institute-course-of-data-analytics-and-data-scientiest-c3522599" TargetMode="External"/><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