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NetTech India: Deep Web Research &amp; Copy Strategy</w:t>
      </w:r>
    </w:p>
    <w:p>
      <w:pPr>
        <w:spacing w:after="200"/>
      </w:pPr>
      <w:r>
        <w:rPr>
          <w:rFonts w:ascii="Arial" w:hAnsi="Arial"/>
          <w:color w:val="555555"/>
          <w:sz w:val="24"/>
        </w:rPr>
        <w:t>Current web evidence, AI-search readiness, competitor messaging, trust risks, and conversion copy direction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333333"/>
          </w:tcPr>
          <w:p>
            <w:pPr>
              <w:spacing w:after="0"/>
            </w:pPr>
            <w:r/>
            <w:r>
              <w:rPr>
                <w:rFonts w:ascii="Arial" w:hAnsi="Arial"/>
                <w:b/>
                <w:color w:val="FFFFFF"/>
                <w:sz w:val="18"/>
              </w:rPr>
              <w:t>Research basis</w:t>
            </w:r>
          </w:p>
        </w:tc>
        <w:tc>
          <w:tcPr>
            <w:tcW w:type="dxa" w:w="4968"/>
            <w:vAlign w:val="center"/>
            <w:shd w:fill="333333"/>
          </w:tcPr>
          <w:p>
            <w:pPr>
              <w:spacing w:after="0"/>
            </w:pPr>
            <w:r/>
            <w:r>
              <w:rPr>
                <w:rFonts w:ascii="Arial" w:hAnsi="Arial"/>
                <w:b/>
                <w:color w:val="FFFFFF"/>
                <w:sz w:val="18"/>
              </w:rPr>
              <w:t>Coverage</w:t>
            </w:r>
          </w:p>
        </w:tc>
      </w:tr>
      <w:tr>
        <w:trPr>
          <w:cantSplit/>
        </w:trPr>
        <w:tc>
          <w:tcPr>
            <w:tcW w:type="dxa" w:w="4968"/>
            <w:vAlign w:val="center"/>
            <w:shd w:fill="F3F3F3"/>
          </w:tcPr>
          <w:p>
            <w:pPr>
              <w:spacing w:after="0"/>
            </w:pPr>
            <w:r/>
            <w:r>
              <w:rPr>
                <w:rFonts w:ascii="Arial" w:hAnsi="Arial"/>
                <w:b w:val="0"/>
                <w:color w:val="222222"/>
                <w:sz w:val="17"/>
              </w:rPr>
              <w:t>First-party and internal sources</w:t>
            </w:r>
          </w:p>
        </w:tc>
        <w:tc>
          <w:tcPr>
            <w:tcW w:type="dxa" w:w="4968"/>
            <w:vAlign w:val="center"/>
            <w:shd w:fill="F3F3F3"/>
          </w:tcPr>
          <w:p>
            <w:pPr>
              <w:spacing w:after="0"/>
            </w:pPr>
            <w:r/>
            <w:r>
              <w:rPr>
                <w:rFonts w:ascii="Arial" w:hAnsi="Arial"/>
                <w:b w:val="0"/>
                <w:color w:val="222222"/>
                <w:sz w:val="17"/>
              </w:rPr>
              <w:t>NetTech India site, course pages, placement pages, blog, LinkedIn, plus two uploaded NetTech strategy reports [A] [B].</w:t>
            </w:r>
          </w:p>
        </w:tc>
      </w:tr>
      <w:tr>
        <w:trPr>
          <w:cantSplit/>
        </w:trPr>
        <w:tc>
          <w:tcPr>
            <w:tcW w:type="dxa" w:w="4968"/>
            <w:vAlign w:val="center"/>
          </w:tcPr>
          <w:p>
            <w:pPr>
              <w:spacing w:after="0"/>
            </w:pPr>
            <w:r/>
            <w:r>
              <w:rPr>
                <w:rFonts w:ascii="Arial" w:hAnsi="Arial"/>
                <w:b w:val="0"/>
                <w:color w:val="222222"/>
                <w:sz w:val="17"/>
              </w:rPr>
              <w:t>Independent web sources</w:t>
            </w:r>
          </w:p>
        </w:tc>
        <w:tc>
          <w:tcPr>
            <w:tcW w:type="dxa" w:w="4968"/>
            <w:vAlign w:val="center"/>
          </w:tcPr>
          <w:p>
            <w:pPr>
              <w:spacing w:after="0"/>
            </w:pPr>
            <w:r/>
            <w:r>
              <w:rPr>
                <w:rFonts w:ascii="Arial" w:hAnsi="Arial"/>
                <w:b w:val="0"/>
                <w:color w:val="222222"/>
                <w:sz w:val="17"/>
              </w:rPr>
              <w:t>Google Search Central, OpenAI Publisher FAQ, FITA Academy, Awdiz, SevenMentor, IIDE, Justdial, Collegedunia, ConsumerComplaints.in.</w:t>
            </w:r>
          </w:p>
        </w:tc>
      </w:tr>
      <w:tr>
        <w:trPr>
          <w:cantSplit/>
        </w:trPr>
        <w:tc>
          <w:tcPr>
            <w:tcW w:type="dxa" w:w="4968"/>
            <w:vAlign w:val="center"/>
            <w:shd w:fill="F3F3F3"/>
          </w:tcPr>
          <w:p>
            <w:pPr>
              <w:spacing w:after="0"/>
            </w:pPr>
            <w:r/>
            <w:r>
              <w:rPr>
                <w:rFonts w:ascii="Arial" w:hAnsi="Arial"/>
                <w:b w:val="0"/>
                <w:color w:val="222222"/>
                <w:sz w:val="17"/>
              </w:rPr>
              <w:t>Currentness</w:t>
            </w:r>
          </w:p>
        </w:tc>
        <w:tc>
          <w:tcPr>
            <w:tcW w:type="dxa" w:w="4968"/>
            <w:vAlign w:val="center"/>
            <w:shd w:fill="F3F3F3"/>
          </w:tcPr>
          <w:p>
            <w:pPr>
              <w:spacing w:after="0"/>
            </w:pPr>
            <w:r/>
            <w:r>
              <w:rPr>
                <w:rFonts w:ascii="Arial" w:hAnsi="Arial"/>
                <w:b w:val="0"/>
                <w:color w:val="222222"/>
                <w:sz w:val="17"/>
              </w:rPr>
              <w:t>Web evidence checked through 10 September 2026.</w:t>
            </w:r>
          </w:p>
        </w:tc>
      </w:tr>
      <w:tr>
        <w:trPr>
          <w:cantSplit/>
        </w:trPr>
        <w:tc>
          <w:tcPr>
            <w:tcW w:type="dxa" w:w="4968"/>
            <w:vAlign w:val="center"/>
          </w:tcPr>
          <w:p>
            <w:pPr>
              <w:spacing w:after="0"/>
            </w:pPr>
            <w:r/>
            <w:r>
              <w:rPr>
                <w:rFonts w:ascii="Arial" w:hAnsi="Arial"/>
                <w:b w:val="0"/>
                <w:color w:val="222222"/>
                <w:sz w:val="17"/>
              </w:rPr>
              <w:t>Use case</w:t>
            </w:r>
          </w:p>
        </w:tc>
        <w:tc>
          <w:tcPr>
            <w:tcW w:type="dxa" w:w="4968"/>
            <w:vAlign w:val="center"/>
          </w:tcPr>
          <w:p>
            <w:pPr>
              <w:spacing w:after="0"/>
            </w:pPr>
            <w:r/>
            <w:r>
              <w:rPr>
                <w:rFonts w:ascii="Arial" w:hAnsi="Arial"/>
                <w:b w:val="0"/>
                <w:color w:val="222222"/>
                <w:sz w:val="17"/>
              </w:rPr>
              <w:t>Website copy, course-page conversion, SEO/AEO/GEO content planning, and trust/evidence architecture.</w:t>
            </w:r>
          </w:p>
        </w:tc>
      </w:tr>
    </w:tbl>
    <w:p>
      <w:pPr>
        <w:spacing w:after="40"/>
      </w:pPr>
    </w:p>
    <w:p>
      <w:r>
        <w:rPr>
          <w:b/>
          <w:sz w:val="24"/>
        </w:rPr>
        <w:t>Executive assessment</w:t>
      </w:r>
    </w:p>
    <w:p>
      <w:r>
        <w:t>NetTech India has the raw ingredients of a strong search-and-conversion brand: a broad course catalogue, seven local centres, dedicated course pages, a visible placement process, sustained 2026 publishing, and a substantial LinkedIn presence. The current strategic gap is not content volume. It is proof density, entity consistency, and decision-stage specificity. [A] [B]</w:t>
      </w:r>
    </w:p>
    <w:p>
      <w:r>
        <w:t>The most important finding for copy is that the market is crowded with the same promises: “best”, “job-oriented”, “hands-on”, “industry experts”, “placement support”, and large hiring-partner numbers. Competitors win attention by making the decision easier with concrete fees, duration, batches, projects, trainer information, tools, and dated outcomes. FITA, Awdiz, SevenMentor, and IIDE all expose more of these decision facts on key course pages. [1] [2] [3] [4]</w:t>
      </w:r>
    </w:p>
    <w:p>
      <w:r>
        <w:t>The trust problem is equally important. NetTech’s public ecosystem contains positive student-success evidence, but also mixed third-party reviews and public complaints. Those complaints are user-generated allegations, not proof of wrongdoing, but they create a material reason to avoid broad employment-guarantee language and to make “placement assistance” operationally precise. [5] [6] [7]</w:t>
      </w:r>
    </w:p>
    <w:p>
      <w:pPr>
        <w:pStyle w:val="Heading1"/>
      </w:pPr>
      <w:r>
        <w:t>1. What the evidence says right now</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vAlign w:val="center"/>
            <w:shd w:fill="333333"/>
          </w:tcPr>
          <w:p>
            <w:pPr>
              <w:spacing w:after="0"/>
            </w:pPr>
            <w:r/>
            <w:r>
              <w:rPr>
                <w:rFonts w:ascii="Arial" w:hAnsi="Arial"/>
                <w:b/>
                <w:color w:val="FFFFFF"/>
                <w:sz w:val="18"/>
              </w:rPr>
              <w:t>Area</w:t>
            </w:r>
          </w:p>
        </w:tc>
        <w:tc>
          <w:tcPr>
            <w:tcW w:type="dxa" w:w="3888"/>
            <w:vAlign w:val="center"/>
            <w:shd w:fill="333333"/>
          </w:tcPr>
          <w:p>
            <w:pPr>
              <w:spacing w:after="0"/>
            </w:pPr>
            <w:r/>
            <w:r>
              <w:rPr>
                <w:rFonts w:ascii="Arial" w:hAnsi="Arial"/>
                <w:b/>
                <w:color w:val="FFFFFF"/>
                <w:sz w:val="18"/>
              </w:rPr>
              <w:t>Current evidence</w:t>
            </w:r>
          </w:p>
        </w:tc>
        <w:tc>
          <w:tcPr>
            <w:tcW w:type="dxa" w:w="3744"/>
            <w:vAlign w:val="center"/>
            <w:shd w:fill="333333"/>
          </w:tcPr>
          <w:p>
            <w:pPr>
              <w:spacing w:after="0"/>
            </w:pPr>
            <w:r/>
            <w:r>
              <w:rPr>
                <w:rFonts w:ascii="Arial" w:hAnsi="Arial"/>
                <w:b/>
                <w:color w:val="FFFFFF"/>
                <w:sz w:val="18"/>
              </w:rPr>
              <w:t>Implication for copy</w:t>
            </w:r>
          </w:p>
        </w:tc>
        <w:tc>
          <w:tcPr>
            <w:tcW w:type="dxa" w:w="1008"/>
            <w:vAlign w:val="center"/>
            <w:shd w:fill="333333"/>
          </w:tcPr>
          <w:p>
            <w:pPr>
              <w:spacing w:after="0"/>
            </w:pPr>
            <w:r/>
            <w:r>
              <w:rPr>
                <w:rFonts w:ascii="Arial" w:hAnsi="Arial"/>
                <w:b/>
                <w:color w:val="FFFFFF"/>
                <w:sz w:val="18"/>
              </w:rPr>
              <w:t>Priority</w:t>
            </w:r>
          </w:p>
        </w:tc>
      </w:tr>
      <w:tr>
        <w:trPr>
          <w:cantSplit/>
        </w:trPr>
        <w:tc>
          <w:tcPr>
            <w:tcW w:type="dxa" w:w="1440"/>
            <w:vAlign w:val="center"/>
            <w:shd w:fill="F3F3F3"/>
          </w:tcPr>
          <w:p>
            <w:pPr>
              <w:spacing w:after="0"/>
            </w:pPr>
            <w:r/>
            <w:r>
              <w:rPr>
                <w:rFonts w:ascii="Arial" w:hAnsi="Arial"/>
                <w:b w:val="0"/>
                <w:color w:val="222222"/>
                <w:sz w:val="17"/>
              </w:rPr>
              <w:t>Entity</w:t>
            </w:r>
          </w:p>
        </w:tc>
        <w:tc>
          <w:tcPr>
            <w:tcW w:type="dxa" w:w="3888"/>
            <w:vAlign w:val="center"/>
            <w:shd w:fill="F3F3F3"/>
          </w:tcPr>
          <w:p>
            <w:pPr>
              <w:spacing w:after="0"/>
            </w:pPr>
            <w:r/>
            <w:r>
              <w:rPr>
                <w:rFonts w:ascii="Arial" w:hAnsi="Arial"/>
                <w:b w:val="0"/>
                <w:color w:val="222222"/>
                <w:sz w:val="17"/>
              </w:rPr>
              <w:t>About page and LinkedIn identify NetTech as a Thane-headquartered IT/non-IT training business with seven centres. LinkedIn says founded in 2012; site copy says 15 years of training experience. [8] [9]</w:t>
            </w:r>
          </w:p>
        </w:tc>
        <w:tc>
          <w:tcPr>
            <w:tcW w:type="dxa" w:w="3744"/>
            <w:vAlign w:val="center"/>
            <w:shd w:fill="F3F3F3"/>
          </w:tcPr>
          <w:p>
            <w:pPr>
              <w:spacing w:after="0"/>
            </w:pPr>
            <w:r/>
            <w:r>
              <w:rPr>
                <w:rFonts w:ascii="Arial" w:hAnsi="Arial"/>
                <w:b w:val="0"/>
                <w:color w:val="222222"/>
                <w:sz w:val="17"/>
              </w:rPr>
              <w:t>State exactly who NetTech is, where it operates, and what it teaches. Clarify the experience wording rather than stacking multiple versions.</w:t>
            </w:r>
          </w:p>
        </w:tc>
        <w:tc>
          <w:tcPr>
            <w:tcW w:type="dxa" w:w="1008"/>
            <w:vAlign w:val="center"/>
            <w:shd w:fill="F3F3F3"/>
          </w:tcPr>
          <w:p>
            <w:pPr>
              <w:spacing w:after="0"/>
            </w:pPr>
            <w:r/>
            <w:r>
              <w:rPr>
                <w:rFonts w:ascii="Arial" w:hAnsi="Arial"/>
                <w:b w:val="0"/>
                <w:color w:val="222222"/>
                <w:sz w:val="17"/>
              </w:rPr>
              <w:t>P0</w:t>
            </w:r>
          </w:p>
        </w:tc>
      </w:tr>
      <w:tr>
        <w:trPr>
          <w:cantSplit/>
        </w:trPr>
        <w:tc>
          <w:tcPr>
            <w:tcW w:type="dxa" w:w="1440"/>
            <w:vAlign w:val="center"/>
          </w:tcPr>
          <w:p>
            <w:pPr>
              <w:spacing w:after="0"/>
            </w:pPr>
            <w:r/>
            <w:r>
              <w:rPr>
                <w:rFonts w:ascii="Arial" w:hAnsi="Arial"/>
                <w:b w:val="0"/>
                <w:color w:val="222222"/>
                <w:sz w:val="17"/>
              </w:rPr>
              <w:t>Scale claims</w:t>
            </w:r>
          </w:p>
        </w:tc>
        <w:tc>
          <w:tcPr>
            <w:tcW w:type="dxa" w:w="3888"/>
            <w:vAlign w:val="center"/>
          </w:tcPr>
          <w:p>
            <w:pPr>
              <w:spacing w:after="0"/>
            </w:pPr>
            <w:r/>
            <w:r>
              <w:rPr>
                <w:rFonts w:ascii="Arial" w:hAnsi="Arial"/>
                <w:b w:val="0"/>
                <w:color w:val="222222"/>
                <w:sz w:val="17"/>
              </w:rPr>
              <w:t>Public pages use 80K+ students, 4,000+ hiring companies/partners, 200+ technologies, and 100% placement assistance. The placement page currently also uses “80K+ students placed”, while the homepage says “80K+ certified students”. [10] [11]</w:t>
            </w:r>
          </w:p>
        </w:tc>
        <w:tc>
          <w:tcPr>
            <w:tcW w:type="dxa" w:w="3744"/>
            <w:vAlign w:val="center"/>
          </w:tcPr>
          <w:p>
            <w:pPr>
              <w:spacing w:after="0"/>
            </w:pPr>
            <w:r/>
            <w:r>
              <w:rPr>
                <w:rFonts w:ascii="Arial" w:hAnsi="Arial"/>
                <w:b w:val="0"/>
                <w:color w:val="222222"/>
                <w:sz w:val="17"/>
              </w:rPr>
              <w:t>Standardize definitions. Do not allow “trained”, “certified”, and “placed” to become interchangeable.</w:t>
            </w:r>
          </w:p>
        </w:tc>
        <w:tc>
          <w:tcPr>
            <w:tcW w:type="dxa" w:w="1008"/>
            <w:vAlign w:val="center"/>
          </w:tcPr>
          <w:p>
            <w:pPr>
              <w:spacing w:after="0"/>
            </w:pPr>
            <w:r/>
            <w:r>
              <w:rPr>
                <w:rFonts w:ascii="Arial" w:hAnsi="Arial"/>
                <w:b w:val="0"/>
                <w:color w:val="222222"/>
                <w:sz w:val="17"/>
              </w:rPr>
              <w:t>P0</w:t>
            </w:r>
          </w:p>
        </w:tc>
      </w:tr>
      <w:tr>
        <w:trPr>
          <w:cantSplit/>
        </w:trPr>
        <w:tc>
          <w:tcPr>
            <w:tcW w:type="dxa" w:w="1440"/>
            <w:vAlign w:val="center"/>
            <w:shd w:fill="F3F3F3"/>
          </w:tcPr>
          <w:p>
            <w:pPr>
              <w:spacing w:after="0"/>
            </w:pPr>
            <w:r/>
            <w:r>
              <w:rPr>
                <w:rFonts w:ascii="Arial" w:hAnsi="Arial"/>
                <w:b w:val="0"/>
                <w:color w:val="222222"/>
                <w:sz w:val="17"/>
              </w:rPr>
              <w:t>Local footprint</w:t>
            </w:r>
          </w:p>
        </w:tc>
        <w:tc>
          <w:tcPr>
            <w:tcW w:type="dxa" w:w="3888"/>
            <w:vAlign w:val="center"/>
            <w:shd w:fill="F3F3F3"/>
          </w:tcPr>
          <w:p>
            <w:pPr>
              <w:spacing w:after="0"/>
            </w:pPr>
            <w:r/>
            <w:r>
              <w:rPr>
                <w:rFonts w:ascii="Arial" w:hAnsi="Arial"/>
                <w:b w:val="0"/>
                <w:color w:val="222222"/>
                <w:sz w:val="17"/>
              </w:rPr>
              <w:t>Seven locations are repeatedly exposed on the site and LinkedIn. [8] [9]</w:t>
            </w:r>
          </w:p>
        </w:tc>
        <w:tc>
          <w:tcPr>
            <w:tcW w:type="dxa" w:w="3744"/>
            <w:vAlign w:val="center"/>
            <w:shd w:fill="F3F3F3"/>
          </w:tcPr>
          <w:p>
            <w:pPr>
              <w:spacing w:after="0"/>
            </w:pPr>
            <w:r/>
            <w:r>
              <w:rPr>
                <w:rFonts w:ascii="Arial" w:hAnsi="Arial"/>
                <w:b w:val="0"/>
                <w:color w:val="222222"/>
                <w:sz w:val="17"/>
              </w:rPr>
              <w:t>Strong advantage for Thane/Mumbai/Navi Mumbai queries. Turn location proof into branch-specific decision content.</w:t>
            </w:r>
          </w:p>
        </w:tc>
        <w:tc>
          <w:tcPr>
            <w:tcW w:type="dxa" w:w="1008"/>
            <w:vAlign w:val="center"/>
            <w:shd w:fill="F3F3F3"/>
          </w:tcPr>
          <w:p>
            <w:pPr>
              <w:spacing w:after="0"/>
            </w:pPr>
            <w:r/>
            <w:r>
              <w:rPr>
                <w:rFonts w:ascii="Arial" w:hAnsi="Arial"/>
                <w:b w:val="0"/>
                <w:color w:val="222222"/>
                <w:sz w:val="17"/>
              </w:rPr>
              <w:t>P1</w:t>
            </w:r>
          </w:p>
        </w:tc>
      </w:tr>
      <w:tr>
        <w:trPr>
          <w:cantSplit/>
        </w:trPr>
        <w:tc>
          <w:tcPr>
            <w:tcW w:type="dxa" w:w="1440"/>
            <w:vAlign w:val="center"/>
          </w:tcPr>
          <w:p>
            <w:pPr>
              <w:spacing w:after="0"/>
            </w:pPr>
            <w:r/>
            <w:r>
              <w:rPr>
                <w:rFonts w:ascii="Arial" w:hAnsi="Arial"/>
                <w:b w:val="0"/>
                <w:color w:val="222222"/>
                <w:sz w:val="17"/>
              </w:rPr>
              <w:t>Course depth</w:t>
            </w:r>
          </w:p>
        </w:tc>
        <w:tc>
          <w:tcPr>
            <w:tcW w:type="dxa" w:w="3888"/>
            <w:vAlign w:val="center"/>
          </w:tcPr>
          <w:p>
            <w:pPr>
              <w:spacing w:after="0"/>
            </w:pPr>
            <w:r/>
            <w:r>
              <w:rPr>
                <w:rFonts w:ascii="Arial" w:hAnsi="Arial"/>
                <w:b w:val="0"/>
                <w:color w:val="222222"/>
                <w:sz w:val="17"/>
              </w:rPr>
              <w:t>Data Analytics, Data Science, AI, Cyber Security, Software Testing, Digital Marketing and other category pages exist. [12] [13] [14]</w:t>
            </w:r>
          </w:p>
        </w:tc>
        <w:tc>
          <w:tcPr>
            <w:tcW w:type="dxa" w:w="3744"/>
            <w:vAlign w:val="center"/>
          </w:tcPr>
          <w:p>
            <w:pPr>
              <w:spacing w:after="0"/>
            </w:pPr>
            <w:r/>
            <w:r>
              <w:rPr>
                <w:rFonts w:ascii="Arial" w:hAnsi="Arial"/>
                <w:b w:val="0"/>
                <w:color w:val="222222"/>
                <w:sz w:val="17"/>
              </w:rPr>
              <w:t>Use fewer, stronger flagship pages and topic clusters instead of publishing disconnected articles.</w:t>
            </w:r>
          </w:p>
        </w:tc>
        <w:tc>
          <w:tcPr>
            <w:tcW w:type="dxa" w:w="1008"/>
            <w:vAlign w:val="center"/>
          </w:tcPr>
          <w:p>
            <w:pPr>
              <w:spacing w:after="0"/>
            </w:pPr>
            <w:r/>
            <w:r>
              <w:rPr>
                <w:rFonts w:ascii="Arial" w:hAnsi="Arial"/>
                <w:b w:val="0"/>
                <w:color w:val="222222"/>
                <w:sz w:val="17"/>
              </w:rPr>
              <w:t>P1</w:t>
            </w:r>
          </w:p>
        </w:tc>
      </w:tr>
      <w:tr>
        <w:trPr>
          <w:cantSplit/>
        </w:trPr>
        <w:tc>
          <w:tcPr>
            <w:tcW w:type="dxa" w:w="1440"/>
            <w:vAlign w:val="center"/>
            <w:shd w:fill="F3F3F3"/>
          </w:tcPr>
          <w:p>
            <w:pPr>
              <w:spacing w:after="0"/>
            </w:pPr>
            <w:r/>
            <w:r>
              <w:rPr>
                <w:rFonts w:ascii="Arial" w:hAnsi="Arial"/>
                <w:b w:val="0"/>
                <w:color w:val="222222"/>
                <w:sz w:val="17"/>
              </w:rPr>
              <w:t>Placement evidence</w:t>
            </w:r>
          </w:p>
        </w:tc>
        <w:tc>
          <w:tcPr>
            <w:tcW w:type="dxa" w:w="3888"/>
            <w:vAlign w:val="center"/>
            <w:shd w:fill="F3F3F3"/>
          </w:tcPr>
          <w:p>
            <w:pPr>
              <w:spacing w:after="0"/>
            </w:pPr>
            <w:r/>
            <w:r>
              <w:rPr>
                <w:rFonts w:ascii="Arial" w:hAnsi="Arial"/>
                <w:b w:val="0"/>
                <w:color w:val="222222"/>
                <w:sz w:val="17"/>
              </w:rPr>
              <w:t>Placement page shows a multi-step process and named roles/employers; LinkedIn also posts recent placement successes. [10] [9]</w:t>
            </w:r>
          </w:p>
        </w:tc>
        <w:tc>
          <w:tcPr>
            <w:tcW w:type="dxa" w:w="3744"/>
            <w:vAlign w:val="center"/>
            <w:shd w:fill="F3F3F3"/>
          </w:tcPr>
          <w:p>
            <w:pPr>
              <w:spacing w:after="0"/>
            </w:pPr>
            <w:r/>
            <w:r>
              <w:rPr>
                <w:rFonts w:ascii="Arial" w:hAnsi="Arial"/>
                <w:b w:val="0"/>
                <w:color w:val="222222"/>
                <w:sz w:val="17"/>
              </w:rPr>
              <w:t>This is stronger than generic promises, but needs cohort-level outcome definitions and consistent evidence.</w:t>
            </w:r>
          </w:p>
        </w:tc>
        <w:tc>
          <w:tcPr>
            <w:tcW w:type="dxa" w:w="1008"/>
            <w:vAlign w:val="center"/>
            <w:shd w:fill="F3F3F3"/>
          </w:tcPr>
          <w:p>
            <w:pPr>
              <w:spacing w:after="0"/>
            </w:pPr>
            <w:r/>
            <w:r>
              <w:rPr>
                <w:rFonts w:ascii="Arial" w:hAnsi="Arial"/>
                <w:b w:val="0"/>
                <w:color w:val="222222"/>
                <w:sz w:val="17"/>
              </w:rPr>
              <w:t>P1</w:t>
            </w:r>
          </w:p>
        </w:tc>
      </w:tr>
      <w:tr>
        <w:trPr>
          <w:cantSplit/>
        </w:trPr>
        <w:tc>
          <w:tcPr>
            <w:tcW w:type="dxa" w:w="1440"/>
            <w:vAlign w:val="center"/>
          </w:tcPr>
          <w:p>
            <w:pPr>
              <w:spacing w:after="0"/>
            </w:pPr>
            <w:r/>
            <w:r>
              <w:rPr>
                <w:rFonts w:ascii="Arial" w:hAnsi="Arial"/>
                <w:b w:val="0"/>
                <w:color w:val="222222"/>
                <w:sz w:val="17"/>
              </w:rPr>
              <w:t>Reputation</w:t>
            </w:r>
          </w:p>
        </w:tc>
        <w:tc>
          <w:tcPr>
            <w:tcW w:type="dxa" w:w="3888"/>
            <w:vAlign w:val="center"/>
          </w:tcPr>
          <w:p>
            <w:pPr>
              <w:spacing w:after="0"/>
            </w:pPr>
            <w:r/>
            <w:r>
              <w:rPr>
                <w:rFonts w:ascii="Arial" w:hAnsi="Arial"/>
                <w:b w:val="0"/>
                <w:color w:val="222222"/>
                <w:sz w:val="17"/>
              </w:rPr>
              <w:t>Third-party sources show both positive learning experiences and negative themes involving placement expectations, support, management and curriculum. [5] [6] [7]</w:t>
            </w:r>
          </w:p>
        </w:tc>
        <w:tc>
          <w:tcPr>
            <w:tcW w:type="dxa" w:w="3744"/>
            <w:vAlign w:val="center"/>
          </w:tcPr>
          <w:p>
            <w:pPr>
              <w:spacing w:after="0"/>
            </w:pPr>
            <w:r/>
            <w:r>
              <w:rPr>
                <w:rFonts w:ascii="Arial" w:hAnsi="Arial"/>
                <w:b w:val="0"/>
                <w:color w:val="222222"/>
                <w:sz w:val="17"/>
              </w:rPr>
              <w:t>Trust copy must acknowledge the distinction between assistance and guaranteed employment; proof should carry more weight than superlatives.</w:t>
            </w:r>
          </w:p>
        </w:tc>
        <w:tc>
          <w:tcPr>
            <w:tcW w:type="dxa" w:w="1008"/>
            <w:vAlign w:val="center"/>
          </w:tcPr>
          <w:p>
            <w:pPr>
              <w:spacing w:after="0"/>
            </w:pPr>
            <w:r/>
            <w:r>
              <w:rPr>
                <w:rFonts w:ascii="Arial" w:hAnsi="Arial"/>
                <w:b w:val="0"/>
                <w:color w:val="222222"/>
                <w:sz w:val="17"/>
              </w:rPr>
              <w:t>P0</w:t>
            </w:r>
          </w:p>
        </w:tc>
      </w:tr>
      <w:tr>
        <w:trPr>
          <w:cantSplit/>
        </w:trPr>
        <w:tc>
          <w:tcPr>
            <w:tcW w:type="dxa" w:w="1440"/>
            <w:vAlign w:val="center"/>
            <w:shd w:fill="F3F3F3"/>
          </w:tcPr>
          <w:p>
            <w:pPr>
              <w:spacing w:after="0"/>
            </w:pPr>
            <w:r/>
            <w:r>
              <w:rPr>
                <w:rFonts w:ascii="Arial" w:hAnsi="Arial"/>
                <w:b w:val="0"/>
                <w:color w:val="222222"/>
                <w:sz w:val="17"/>
              </w:rPr>
              <w:t>AI search</w:t>
            </w:r>
          </w:p>
        </w:tc>
        <w:tc>
          <w:tcPr>
            <w:tcW w:type="dxa" w:w="3888"/>
            <w:vAlign w:val="center"/>
            <w:shd w:fill="F3F3F3"/>
          </w:tcPr>
          <w:p>
            <w:pPr>
              <w:spacing w:after="0"/>
            </w:pPr>
            <w:r/>
            <w:r>
              <w:rPr>
                <w:rFonts w:ascii="Arial" w:hAnsi="Arial"/>
                <w:b w:val="0"/>
                <w:color w:val="222222"/>
                <w:sz w:val="17"/>
              </w:rPr>
              <w:t>Google says generative AI features still rely on core SEO, crawlability, useful original content and technical clarity; Google does not require special AI markup or llms.txt. OpenAI says public sites can appear in ChatGPT Search and recommends not blocking OAI-SearchBot. [15] [16]</w:t>
            </w:r>
          </w:p>
        </w:tc>
        <w:tc>
          <w:tcPr>
            <w:tcW w:type="dxa" w:w="3744"/>
            <w:vAlign w:val="center"/>
            <w:shd w:fill="F3F3F3"/>
          </w:tcPr>
          <w:p>
            <w:pPr>
              <w:spacing w:after="0"/>
            </w:pPr>
            <w:r/>
            <w:r>
              <w:rPr>
                <w:rFonts w:ascii="Arial" w:hAnsi="Arial"/>
                <w:b w:val="0"/>
                <w:color w:val="222222"/>
                <w:sz w:val="17"/>
              </w:rPr>
              <w:t>Do not build an “AI-only” content layer. Build excellent web pages first, then measure AI visibility.</w:t>
            </w:r>
          </w:p>
        </w:tc>
        <w:tc>
          <w:tcPr>
            <w:tcW w:type="dxa" w:w="1008"/>
            <w:vAlign w:val="center"/>
            <w:shd w:fill="F3F3F3"/>
          </w:tcPr>
          <w:p>
            <w:pPr>
              <w:spacing w:after="0"/>
            </w:pPr>
            <w:r/>
            <w:r>
              <w:rPr>
                <w:rFonts w:ascii="Arial" w:hAnsi="Arial"/>
                <w:b w:val="0"/>
                <w:color w:val="222222"/>
                <w:sz w:val="17"/>
              </w:rPr>
              <w:t>P1</w:t>
            </w:r>
          </w:p>
        </w:tc>
      </w:tr>
    </w:tbl>
    <w:p>
      <w:pPr>
        <w:spacing w:after="40"/>
      </w:pPr>
    </w:p>
    <w:p>
      <w:pPr>
        <w:pStyle w:val="Heading1"/>
      </w:pPr>
      <w:r>
        <w:t>2. Entity and domain consistency</w:t>
      </w:r>
    </w:p>
    <w:p>
      <w:r>
        <w:t>The domain issue is not a copy problem alone. It is an entity problem. Both nettechindia.com and nettechindia.org remain publicly discoverable with overlapping branding, locations and course information. The .org pages also expose older or differing contact details, including domain-specific email addresses and an address variant at the Thane centre. [A] [B] [17]</w:t>
      </w:r>
    </w:p>
    <w:p>
      <w:r>
        <w:t>Recommended public rule: make nettechindia.com the sole canonical public property, migrate internal links, update profile links, map .org URLs one-to-one, and use 301 redirects/canonicals where appropriate. This aligns with Google’s guidance to reduce duplicate content and keep the site technically clear for discovery and indexing. [15]</w:t>
      </w:r>
    </w:p>
    <w:p>
      <w:r>
        <w:t>Copy implication: use one canonical brand description across the website, LinkedIn, Google Business Profile and third-party profiles. A clean entity is easier to understand, cite and recommend than a brand that looks like multiple source variants.</w:t>
      </w:r>
    </w:p>
    <w:p>
      <w:pPr>
        <w:pStyle w:val="Heading1"/>
      </w:pPr>
      <w:r>
        <w:t>3. AI-search and conventional-search findings</w:t>
      </w:r>
    </w:p>
    <w:p>
      <w:r>
        <w:t>Google’s July 2026 guidance is unusually clear: “AEO” and “GEO” can describe a workstream, but for Google Search the underlying job is still SEO. Google says unique, valuable, non-commodity content is more important than “AI hacks”; it also says there is no required page length, no need to create tiny chunks for AI, no need to rewrite pages solely for AI systems, and no need for llms.txt or special AI markup. [15]</w:t>
      </w:r>
    </w:p>
    <w:p>
      <w:r>
        <w:t>This matters for NetTech because much of the current blog architecture is topic-rich but commodity-heavy: common career explanations, “best/top” framing, and broad trend pieces. The better path is to turn NetTech’s own operational knowledge into first-party resources: real cohort outcomes, named trainers, project walkthroughs, interview questions used in training, branch-specific decision guides, curriculum changes, and transparent placement definitions. [A] [B]</w:t>
      </w:r>
    </w:p>
    <w:p>
      <w:r>
        <w:t>OpenAI’s current publisher guidance adds one concrete technical requirement for ChatGPT discovery: do not block OAI-SearchBot if the goal is for site content to be included in ChatGPT summaries and snippets. Google’s new Search Console generative AI reporting, launched in June 2026 and rolling out to a subset of websites, provides a better measurement path for Google AI visibility than generic third-party “AI scores”. [16] [18]</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333333"/>
          </w:tcPr>
          <w:p>
            <w:pPr>
              <w:spacing w:after="0"/>
            </w:pPr>
            <w:r/>
            <w:r>
              <w:rPr>
                <w:rFonts w:ascii="Arial" w:hAnsi="Arial"/>
                <w:b/>
                <w:color w:val="FFFFFF"/>
                <w:sz w:val="18"/>
              </w:rPr>
              <w:t>AI/Search lever</w:t>
            </w:r>
          </w:p>
        </w:tc>
        <w:tc>
          <w:tcPr>
            <w:tcW w:type="dxa" w:w="3312"/>
            <w:vAlign w:val="center"/>
            <w:shd w:fill="333333"/>
          </w:tcPr>
          <w:p>
            <w:pPr>
              <w:spacing w:after="0"/>
            </w:pPr>
            <w:r/>
            <w:r>
              <w:rPr>
                <w:rFonts w:ascii="Arial" w:hAnsi="Arial"/>
                <w:b/>
                <w:color w:val="FFFFFF"/>
                <w:sz w:val="18"/>
              </w:rPr>
              <w:t>What matters</w:t>
            </w:r>
          </w:p>
        </w:tc>
        <w:tc>
          <w:tcPr>
            <w:tcW w:type="dxa" w:w="3312"/>
            <w:vAlign w:val="center"/>
            <w:shd w:fill="333333"/>
          </w:tcPr>
          <w:p>
            <w:pPr>
              <w:spacing w:after="0"/>
            </w:pPr>
            <w:r/>
            <w:r>
              <w:rPr>
                <w:rFonts w:ascii="Arial" w:hAnsi="Arial"/>
                <w:b/>
                <w:color w:val="FFFFFF"/>
                <w:sz w:val="18"/>
              </w:rPr>
              <w:t>NetTech action</w:t>
            </w:r>
          </w:p>
        </w:tc>
      </w:tr>
      <w:tr>
        <w:trPr>
          <w:cantSplit/>
        </w:trPr>
        <w:tc>
          <w:tcPr>
            <w:tcW w:type="dxa" w:w="3312"/>
            <w:vAlign w:val="center"/>
            <w:shd w:fill="F3F3F3"/>
          </w:tcPr>
          <w:p>
            <w:pPr>
              <w:spacing w:after="0"/>
            </w:pPr>
            <w:r/>
            <w:r>
              <w:rPr>
                <w:rFonts w:ascii="Arial" w:hAnsi="Arial"/>
                <w:b w:val="0"/>
                <w:color w:val="222222"/>
                <w:sz w:val="17"/>
              </w:rPr>
              <w:t>Crawlability</w:t>
            </w:r>
          </w:p>
        </w:tc>
        <w:tc>
          <w:tcPr>
            <w:tcW w:type="dxa" w:w="3312"/>
            <w:vAlign w:val="center"/>
            <w:shd w:fill="F3F3F3"/>
          </w:tcPr>
          <w:p>
            <w:pPr>
              <w:spacing w:after="0"/>
            </w:pPr>
            <w:r/>
            <w:r>
              <w:rPr>
                <w:rFonts w:ascii="Arial" w:hAnsi="Arial"/>
                <w:b w:val="0"/>
                <w:color w:val="222222"/>
                <w:sz w:val="17"/>
              </w:rPr>
              <w:t>Pages must be crawlable and indexable for Google AI features. [15]</w:t>
            </w:r>
          </w:p>
        </w:tc>
        <w:tc>
          <w:tcPr>
            <w:tcW w:type="dxa" w:w="3312"/>
            <w:vAlign w:val="center"/>
            <w:shd w:fill="F3F3F3"/>
          </w:tcPr>
          <w:p>
            <w:pPr>
              <w:spacing w:after="0"/>
            </w:pPr>
            <w:r/>
            <w:r>
              <w:rPr>
                <w:rFonts w:ascii="Arial" w:hAnsi="Arial"/>
                <w:b w:val="0"/>
                <w:color w:val="222222"/>
                <w:sz w:val="17"/>
              </w:rPr>
              <w:t>Verify robots.txt, sitemap, canonical tags, index status and important JS content.</w:t>
            </w:r>
          </w:p>
        </w:tc>
      </w:tr>
      <w:tr>
        <w:trPr>
          <w:cantSplit/>
        </w:trPr>
        <w:tc>
          <w:tcPr>
            <w:tcW w:type="dxa" w:w="3312"/>
            <w:vAlign w:val="center"/>
          </w:tcPr>
          <w:p>
            <w:pPr>
              <w:spacing w:after="0"/>
            </w:pPr>
            <w:r/>
            <w:r>
              <w:rPr>
                <w:rFonts w:ascii="Arial" w:hAnsi="Arial"/>
                <w:b w:val="0"/>
                <w:color w:val="222222"/>
                <w:sz w:val="17"/>
              </w:rPr>
              <w:t>Originality</w:t>
            </w:r>
          </w:p>
        </w:tc>
        <w:tc>
          <w:tcPr>
            <w:tcW w:type="dxa" w:w="3312"/>
            <w:vAlign w:val="center"/>
          </w:tcPr>
          <w:p>
            <w:pPr>
              <w:spacing w:after="0"/>
            </w:pPr>
            <w:r/>
            <w:r>
              <w:rPr>
                <w:rFonts w:ascii="Arial" w:hAnsi="Arial"/>
                <w:b w:val="0"/>
                <w:color w:val="222222"/>
                <w:sz w:val="17"/>
              </w:rPr>
              <w:t>Google prioritizes useful, unique, people-first content. [15]</w:t>
            </w:r>
          </w:p>
        </w:tc>
        <w:tc>
          <w:tcPr>
            <w:tcW w:type="dxa" w:w="3312"/>
            <w:vAlign w:val="center"/>
          </w:tcPr>
          <w:p>
            <w:pPr>
              <w:spacing w:after="0"/>
            </w:pPr>
            <w:r/>
            <w:r>
              <w:rPr>
                <w:rFonts w:ascii="Arial" w:hAnsi="Arial"/>
                <w:b w:val="0"/>
                <w:color w:val="222222"/>
                <w:sz w:val="17"/>
              </w:rPr>
              <w:t>Publish real project artefacts, cohort data, trainer expertise and local learner insights.</w:t>
            </w:r>
          </w:p>
        </w:tc>
      </w:tr>
      <w:tr>
        <w:trPr>
          <w:cantSplit/>
        </w:trPr>
        <w:tc>
          <w:tcPr>
            <w:tcW w:type="dxa" w:w="3312"/>
            <w:vAlign w:val="center"/>
            <w:shd w:fill="F3F3F3"/>
          </w:tcPr>
          <w:p>
            <w:pPr>
              <w:spacing w:after="0"/>
            </w:pPr>
            <w:r/>
            <w:r>
              <w:rPr>
                <w:rFonts w:ascii="Arial" w:hAnsi="Arial"/>
                <w:b w:val="0"/>
                <w:color w:val="222222"/>
                <w:sz w:val="17"/>
              </w:rPr>
              <w:t>Text accessibility</w:t>
            </w:r>
          </w:p>
        </w:tc>
        <w:tc>
          <w:tcPr>
            <w:tcW w:type="dxa" w:w="3312"/>
            <w:vAlign w:val="center"/>
            <w:shd w:fill="F3F3F3"/>
          </w:tcPr>
          <w:p>
            <w:pPr>
              <w:spacing w:after="0"/>
            </w:pPr>
            <w:r/>
            <w:r>
              <w:rPr>
                <w:rFonts w:ascii="Arial" w:hAnsi="Arial"/>
                <w:b w:val="0"/>
                <w:color w:val="222222"/>
                <w:sz w:val="17"/>
              </w:rPr>
              <w:t>Important facts should be available as crawlable text. [15]</w:t>
            </w:r>
          </w:p>
        </w:tc>
        <w:tc>
          <w:tcPr>
            <w:tcW w:type="dxa" w:w="3312"/>
            <w:vAlign w:val="center"/>
            <w:shd w:fill="F3F3F3"/>
          </w:tcPr>
          <w:p>
            <w:pPr>
              <w:spacing w:after="0"/>
            </w:pPr>
            <w:r/>
            <w:r>
              <w:rPr>
                <w:rFonts w:ascii="Arial" w:hAnsi="Arial"/>
                <w:b w:val="0"/>
                <w:color w:val="222222"/>
                <w:sz w:val="17"/>
              </w:rPr>
              <w:t>Do not hide fee, duration, curriculum or location details inside images/brochures alone.</w:t>
            </w:r>
          </w:p>
        </w:tc>
      </w:tr>
      <w:tr>
        <w:trPr>
          <w:cantSplit/>
        </w:trPr>
        <w:tc>
          <w:tcPr>
            <w:tcW w:type="dxa" w:w="3312"/>
            <w:vAlign w:val="center"/>
          </w:tcPr>
          <w:p>
            <w:pPr>
              <w:spacing w:after="0"/>
            </w:pPr>
            <w:r/>
            <w:r>
              <w:rPr>
                <w:rFonts w:ascii="Arial" w:hAnsi="Arial"/>
                <w:b w:val="0"/>
                <w:color w:val="222222"/>
                <w:sz w:val="17"/>
              </w:rPr>
              <w:t>Structured data</w:t>
            </w:r>
          </w:p>
        </w:tc>
        <w:tc>
          <w:tcPr>
            <w:tcW w:type="dxa" w:w="3312"/>
            <w:vAlign w:val="center"/>
          </w:tcPr>
          <w:p>
            <w:pPr>
              <w:spacing w:after="0"/>
            </w:pPr>
            <w:r/>
            <w:r>
              <w:rPr>
                <w:rFonts w:ascii="Arial" w:hAnsi="Arial"/>
                <w:b w:val="0"/>
                <w:color w:val="222222"/>
                <w:sz w:val="17"/>
              </w:rPr>
              <w:t>Google supports Organization, LocalBusiness and Course list markup where applicable. [19] [20] [21]</w:t>
            </w:r>
          </w:p>
        </w:tc>
        <w:tc>
          <w:tcPr>
            <w:tcW w:type="dxa" w:w="3312"/>
            <w:vAlign w:val="center"/>
          </w:tcPr>
          <w:p>
            <w:pPr>
              <w:spacing w:after="0"/>
            </w:pPr>
            <w:r/>
            <w:r>
              <w:rPr>
                <w:rFonts w:ascii="Arial" w:hAnsi="Arial"/>
                <w:b w:val="0"/>
                <w:color w:val="222222"/>
                <w:sz w:val="17"/>
              </w:rPr>
              <w:t>Implement only where the visible content supports the markup; keep it accurate and maintainable.</w:t>
            </w:r>
          </w:p>
        </w:tc>
      </w:tr>
      <w:tr>
        <w:trPr>
          <w:cantSplit/>
        </w:trPr>
        <w:tc>
          <w:tcPr>
            <w:tcW w:type="dxa" w:w="3312"/>
            <w:vAlign w:val="center"/>
            <w:shd w:fill="F3F3F3"/>
          </w:tcPr>
          <w:p>
            <w:pPr>
              <w:spacing w:after="0"/>
            </w:pPr>
            <w:r/>
            <w:r>
              <w:rPr>
                <w:rFonts w:ascii="Arial" w:hAnsi="Arial"/>
                <w:b w:val="0"/>
                <w:color w:val="222222"/>
                <w:sz w:val="17"/>
              </w:rPr>
              <w:t>ChatGPT discovery</w:t>
            </w:r>
          </w:p>
        </w:tc>
        <w:tc>
          <w:tcPr>
            <w:tcW w:type="dxa" w:w="3312"/>
            <w:vAlign w:val="center"/>
            <w:shd w:fill="F3F3F3"/>
          </w:tcPr>
          <w:p>
            <w:pPr>
              <w:spacing w:after="0"/>
            </w:pPr>
            <w:r/>
            <w:r>
              <w:rPr>
                <w:rFonts w:ascii="Arial" w:hAnsi="Arial"/>
                <w:b w:val="0"/>
                <w:color w:val="222222"/>
                <w:sz w:val="17"/>
              </w:rPr>
              <w:t>OpenAI Search can surface public websites; OAI-SearchBot access matters for snippets/summaries. [16]</w:t>
            </w:r>
          </w:p>
        </w:tc>
        <w:tc>
          <w:tcPr>
            <w:tcW w:type="dxa" w:w="3312"/>
            <w:vAlign w:val="center"/>
            <w:shd w:fill="F3F3F3"/>
          </w:tcPr>
          <w:p>
            <w:pPr>
              <w:spacing w:after="0"/>
            </w:pPr>
            <w:r/>
            <w:r>
              <w:rPr>
                <w:rFonts w:ascii="Arial" w:hAnsi="Arial"/>
                <w:b w:val="0"/>
                <w:color w:val="222222"/>
                <w:sz w:val="17"/>
              </w:rPr>
              <w:t>Audit robots.txt and bot access.</w:t>
            </w:r>
          </w:p>
        </w:tc>
      </w:tr>
      <w:tr>
        <w:trPr>
          <w:cantSplit/>
        </w:trPr>
        <w:tc>
          <w:tcPr>
            <w:tcW w:type="dxa" w:w="3312"/>
            <w:vAlign w:val="center"/>
          </w:tcPr>
          <w:p>
            <w:pPr>
              <w:spacing w:after="0"/>
            </w:pPr>
            <w:r/>
            <w:r>
              <w:rPr>
                <w:rFonts w:ascii="Arial" w:hAnsi="Arial"/>
                <w:b w:val="0"/>
                <w:color w:val="222222"/>
                <w:sz w:val="17"/>
              </w:rPr>
              <w:t>Measurement</w:t>
            </w:r>
          </w:p>
        </w:tc>
        <w:tc>
          <w:tcPr>
            <w:tcW w:type="dxa" w:w="3312"/>
            <w:vAlign w:val="center"/>
          </w:tcPr>
          <w:p>
            <w:pPr>
              <w:spacing w:after="0"/>
            </w:pPr>
            <w:r/>
            <w:r>
              <w:rPr>
                <w:rFonts w:ascii="Arial" w:hAnsi="Arial"/>
                <w:b w:val="0"/>
                <w:color w:val="222222"/>
                <w:sz w:val="17"/>
              </w:rPr>
              <w:t>Google now provides a generative AI performance view in Search Console on a rollout basis. [18]</w:t>
            </w:r>
          </w:p>
        </w:tc>
        <w:tc>
          <w:tcPr>
            <w:tcW w:type="dxa" w:w="3312"/>
            <w:vAlign w:val="center"/>
          </w:tcPr>
          <w:p>
            <w:pPr>
              <w:spacing w:after="0"/>
            </w:pPr>
            <w:r/>
            <w:r>
              <w:rPr>
                <w:rFonts w:ascii="Arial" w:hAnsi="Arial"/>
                <w:b w:val="0"/>
                <w:color w:val="222222"/>
                <w:sz w:val="17"/>
              </w:rPr>
              <w:t>Track AI visibility alongside non-brand clicks and enquiries.</w:t>
            </w:r>
          </w:p>
        </w:tc>
      </w:tr>
    </w:tbl>
    <w:p>
      <w:pPr>
        <w:spacing w:after="40"/>
      </w:pPr>
    </w:p>
    <w:p>
      <w:pPr>
        <w:pStyle w:val="Heading1"/>
      </w:pPr>
      <w:r>
        <w:t>4. Audience and search-intent model</w:t>
      </w:r>
    </w:p>
    <w:p>
      <w:r>
        <w:t>The uploaded content strategy defines four high-value groups: freshers/students, career switchers and working professionals, with job-focused intent spanning Data Analytics, Data Science, Cyber Security, Cloud, Full Stack, Networking and Digital Marketing. [B] This matches the decision questions repeatedly surfaced by NetTech and competitors: what to learn, which path fits, fees, duration, eligibility, practical work, batch timing, and placement support.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333333"/>
          </w:tcPr>
          <w:p>
            <w:pPr>
              <w:spacing w:after="0"/>
            </w:pPr>
            <w:r/>
            <w:r>
              <w:rPr>
                <w:rFonts w:ascii="Arial" w:hAnsi="Arial"/>
                <w:b/>
                <w:color w:val="FFFFFF"/>
                <w:sz w:val="18"/>
              </w:rPr>
              <w:t>Buyer stage</w:t>
            </w:r>
          </w:p>
        </w:tc>
        <w:tc>
          <w:tcPr>
            <w:tcW w:type="dxa" w:w="2484"/>
            <w:vAlign w:val="center"/>
            <w:shd w:fill="333333"/>
          </w:tcPr>
          <w:p>
            <w:pPr>
              <w:spacing w:after="0"/>
            </w:pPr>
            <w:r/>
            <w:r>
              <w:rPr>
                <w:rFonts w:ascii="Arial" w:hAnsi="Arial"/>
                <w:b/>
                <w:color w:val="FFFFFF"/>
                <w:sz w:val="18"/>
              </w:rPr>
              <w:t>What they are asking</w:t>
            </w:r>
          </w:p>
        </w:tc>
        <w:tc>
          <w:tcPr>
            <w:tcW w:type="dxa" w:w="2484"/>
            <w:vAlign w:val="center"/>
            <w:shd w:fill="333333"/>
          </w:tcPr>
          <w:p>
            <w:pPr>
              <w:spacing w:after="0"/>
            </w:pPr>
            <w:r/>
            <w:r>
              <w:rPr>
                <w:rFonts w:ascii="Arial" w:hAnsi="Arial"/>
                <w:b/>
                <w:color w:val="FFFFFF"/>
                <w:sz w:val="18"/>
              </w:rPr>
              <w:t>Copy job</w:t>
            </w:r>
          </w:p>
        </w:tc>
        <w:tc>
          <w:tcPr>
            <w:tcW w:type="dxa" w:w="2484"/>
            <w:vAlign w:val="center"/>
            <w:shd w:fill="333333"/>
          </w:tcPr>
          <w:p>
            <w:pPr>
              <w:spacing w:after="0"/>
            </w:pPr>
            <w:r/>
            <w:r>
              <w:rPr>
                <w:rFonts w:ascii="Arial" w:hAnsi="Arial"/>
                <w:b/>
                <w:color w:val="FFFFFF"/>
                <w:sz w:val="18"/>
              </w:rPr>
              <w:t>Best asset</w:t>
            </w:r>
          </w:p>
        </w:tc>
      </w:tr>
      <w:tr>
        <w:trPr>
          <w:cantSplit/>
        </w:trPr>
        <w:tc>
          <w:tcPr>
            <w:tcW w:type="dxa" w:w="2484"/>
            <w:vAlign w:val="center"/>
            <w:shd w:fill="F3F3F3"/>
          </w:tcPr>
          <w:p>
            <w:pPr>
              <w:spacing w:after="0"/>
            </w:pPr>
            <w:r/>
            <w:r>
              <w:rPr>
                <w:rFonts w:ascii="Arial" w:hAnsi="Arial"/>
                <w:b w:val="0"/>
                <w:color w:val="222222"/>
                <w:sz w:val="17"/>
              </w:rPr>
              <w:t>Awareness</w:t>
            </w:r>
          </w:p>
        </w:tc>
        <w:tc>
          <w:tcPr>
            <w:tcW w:type="dxa" w:w="2484"/>
            <w:vAlign w:val="center"/>
            <w:shd w:fill="F3F3F3"/>
          </w:tcPr>
          <w:p>
            <w:pPr>
              <w:spacing w:after="0"/>
            </w:pPr>
            <w:r/>
            <w:r>
              <w:rPr>
                <w:rFonts w:ascii="Arial" w:hAnsi="Arial"/>
                <w:b w:val="0"/>
                <w:color w:val="222222"/>
                <w:sz w:val="17"/>
              </w:rPr>
              <w:t>What career should I choose? What skills matter in 2026?</w:t>
            </w:r>
          </w:p>
        </w:tc>
        <w:tc>
          <w:tcPr>
            <w:tcW w:type="dxa" w:w="2484"/>
            <w:vAlign w:val="center"/>
            <w:shd w:fill="F3F3F3"/>
          </w:tcPr>
          <w:p>
            <w:pPr>
              <w:spacing w:after="0"/>
            </w:pPr>
            <w:r/>
            <w:r>
              <w:rPr>
                <w:rFonts w:ascii="Arial" w:hAnsi="Arial"/>
                <w:b w:val="0"/>
                <w:color w:val="222222"/>
                <w:sz w:val="17"/>
              </w:rPr>
              <w:t>Reduce confusion and show a realistic path.</w:t>
            </w:r>
          </w:p>
        </w:tc>
        <w:tc>
          <w:tcPr>
            <w:tcW w:type="dxa" w:w="2484"/>
            <w:vAlign w:val="center"/>
            <w:shd w:fill="F3F3F3"/>
          </w:tcPr>
          <w:p>
            <w:pPr>
              <w:spacing w:after="0"/>
            </w:pPr>
            <w:r/>
            <w:r>
              <w:rPr>
                <w:rFonts w:ascii="Arial" w:hAnsi="Arial"/>
                <w:b w:val="0"/>
                <w:color w:val="222222"/>
                <w:sz w:val="17"/>
              </w:rPr>
              <w:t>Career roadmap, comparison, FAQ</w:t>
            </w:r>
          </w:p>
        </w:tc>
      </w:tr>
      <w:tr>
        <w:trPr>
          <w:cantSplit/>
        </w:trPr>
        <w:tc>
          <w:tcPr>
            <w:tcW w:type="dxa" w:w="2484"/>
            <w:vAlign w:val="center"/>
          </w:tcPr>
          <w:p>
            <w:pPr>
              <w:spacing w:after="0"/>
            </w:pPr>
            <w:r/>
            <w:r>
              <w:rPr>
                <w:rFonts w:ascii="Arial" w:hAnsi="Arial"/>
                <w:b w:val="0"/>
                <w:color w:val="222222"/>
                <w:sz w:val="17"/>
              </w:rPr>
              <w:t>Consideration</w:t>
            </w:r>
          </w:p>
        </w:tc>
        <w:tc>
          <w:tcPr>
            <w:tcW w:type="dxa" w:w="2484"/>
            <w:vAlign w:val="center"/>
          </w:tcPr>
          <w:p>
            <w:pPr>
              <w:spacing w:after="0"/>
            </w:pPr>
            <w:r/>
            <w:r>
              <w:rPr>
                <w:rFonts w:ascii="Arial" w:hAnsi="Arial"/>
                <w:b w:val="0"/>
                <w:color w:val="222222"/>
                <w:sz w:val="17"/>
              </w:rPr>
              <w:t>What will I actually learn? Which tools? Which projects? Who teaches it?</w:t>
            </w:r>
          </w:p>
        </w:tc>
        <w:tc>
          <w:tcPr>
            <w:tcW w:type="dxa" w:w="2484"/>
            <w:vAlign w:val="center"/>
          </w:tcPr>
          <w:p>
            <w:pPr>
              <w:spacing w:after="0"/>
            </w:pPr>
            <w:r/>
            <w:r>
              <w:rPr>
                <w:rFonts w:ascii="Arial" w:hAnsi="Arial"/>
                <w:b w:val="0"/>
                <w:color w:val="222222"/>
                <w:sz w:val="17"/>
              </w:rPr>
              <w:t>Make the program tangible and comparable.</w:t>
            </w:r>
          </w:p>
        </w:tc>
        <w:tc>
          <w:tcPr>
            <w:tcW w:type="dxa" w:w="2484"/>
            <w:vAlign w:val="center"/>
          </w:tcPr>
          <w:p>
            <w:pPr>
              <w:spacing w:after="0"/>
            </w:pPr>
            <w:r/>
            <w:r>
              <w:rPr>
                <w:rFonts w:ascii="Arial" w:hAnsi="Arial"/>
                <w:b w:val="0"/>
                <w:color w:val="222222"/>
                <w:sz w:val="17"/>
              </w:rPr>
              <w:t>Course page, trainer profile, project gallery</w:t>
            </w:r>
          </w:p>
        </w:tc>
      </w:tr>
      <w:tr>
        <w:trPr>
          <w:cantSplit/>
        </w:trPr>
        <w:tc>
          <w:tcPr>
            <w:tcW w:type="dxa" w:w="2484"/>
            <w:vAlign w:val="center"/>
            <w:shd w:fill="F3F3F3"/>
          </w:tcPr>
          <w:p>
            <w:pPr>
              <w:spacing w:after="0"/>
            </w:pPr>
            <w:r/>
            <w:r>
              <w:rPr>
                <w:rFonts w:ascii="Arial" w:hAnsi="Arial"/>
                <w:b w:val="0"/>
                <w:color w:val="222222"/>
                <w:sz w:val="17"/>
              </w:rPr>
              <w:t>Decision</w:t>
            </w:r>
          </w:p>
        </w:tc>
        <w:tc>
          <w:tcPr>
            <w:tcW w:type="dxa" w:w="2484"/>
            <w:vAlign w:val="center"/>
            <w:shd w:fill="F3F3F3"/>
          </w:tcPr>
          <w:p>
            <w:pPr>
              <w:spacing w:after="0"/>
            </w:pPr>
            <w:r/>
            <w:r>
              <w:rPr>
                <w:rFonts w:ascii="Arial" w:hAnsi="Arial"/>
                <w:b w:val="0"/>
                <w:color w:val="222222"/>
                <w:sz w:val="17"/>
              </w:rPr>
              <w:t>How much? How long? When is the next batch? What happens after the course?</w:t>
            </w:r>
          </w:p>
        </w:tc>
        <w:tc>
          <w:tcPr>
            <w:tcW w:type="dxa" w:w="2484"/>
            <w:vAlign w:val="center"/>
            <w:shd w:fill="F3F3F3"/>
          </w:tcPr>
          <w:p>
            <w:pPr>
              <w:spacing w:after="0"/>
            </w:pPr>
            <w:r/>
            <w:r>
              <w:rPr>
                <w:rFonts w:ascii="Arial" w:hAnsi="Arial"/>
                <w:b w:val="0"/>
                <w:color w:val="222222"/>
                <w:sz w:val="17"/>
              </w:rPr>
              <w:t>Remove uncertainty and make the next step obvious.</w:t>
            </w:r>
          </w:p>
        </w:tc>
        <w:tc>
          <w:tcPr>
            <w:tcW w:type="dxa" w:w="2484"/>
            <w:vAlign w:val="center"/>
            <w:shd w:fill="F3F3F3"/>
          </w:tcPr>
          <w:p>
            <w:pPr>
              <w:spacing w:after="0"/>
            </w:pPr>
            <w:r/>
            <w:r>
              <w:rPr>
                <w:rFonts w:ascii="Arial" w:hAnsi="Arial"/>
                <w:b w:val="0"/>
                <w:color w:val="222222"/>
                <w:sz w:val="17"/>
              </w:rPr>
              <w:t>Decision page with fee, batch, eligibility, support and proof</w:t>
            </w:r>
          </w:p>
        </w:tc>
      </w:tr>
      <w:tr>
        <w:trPr>
          <w:cantSplit/>
        </w:trPr>
        <w:tc>
          <w:tcPr>
            <w:tcW w:type="dxa" w:w="2484"/>
            <w:vAlign w:val="center"/>
          </w:tcPr>
          <w:p>
            <w:pPr>
              <w:spacing w:after="0"/>
            </w:pPr>
            <w:r/>
            <w:r>
              <w:rPr>
                <w:rFonts w:ascii="Arial" w:hAnsi="Arial"/>
                <w:b w:val="0"/>
                <w:color w:val="222222"/>
                <w:sz w:val="17"/>
              </w:rPr>
              <w:t>Trust recovery</w:t>
            </w:r>
          </w:p>
        </w:tc>
        <w:tc>
          <w:tcPr>
            <w:tcW w:type="dxa" w:w="2484"/>
            <w:vAlign w:val="center"/>
          </w:tcPr>
          <w:p>
            <w:pPr>
              <w:spacing w:after="0"/>
            </w:pPr>
            <w:r/>
            <w:r>
              <w:rPr>
                <w:rFonts w:ascii="Arial" w:hAnsi="Arial"/>
                <w:b w:val="0"/>
                <w:color w:val="222222"/>
                <w:sz w:val="17"/>
              </w:rPr>
              <w:t>Can I believe the placement claims?</w:t>
            </w:r>
          </w:p>
        </w:tc>
        <w:tc>
          <w:tcPr>
            <w:tcW w:type="dxa" w:w="2484"/>
            <w:vAlign w:val="center"/>
          </w:tcPr>
          <w:p>
            <w:pPr>
              <w:spacing w:after="0"/>
            </w:pPr>
            <w:r/>
            <w:r>
              <w:rPr>
                <w:rFonts w:ascii="Arial" w:hAnsi="Arial"/>
                <w:b w:val="0"/>
                <w:color w:val="222222"/>
                <w:sz w:val="17"/>
              </w:rPr>
              <w:t>Define assistance, show dated outcomes and explain process.</w:t>
            </w:r>
          </w:p>
        </w:tc>
        <w:tc>
          <w:tcPr>
            <w:tcW w:type="dxa" w:w="2484"/>
            <w:vAlign w:val="center"/>
          </w:tcPr>
          <w:p>
            <w:pPr>
              <w:spacing w:after="0"/>
            </w:pPr>
            <w:r/>
            <w:r>
              <w:rPr>
                <w:rFonts w:ascii="Arial" w:hAnsi="Arial"/>
                <w:b w:val="0"/>
                <w:color w:val="222222"/>
                <w:sz w:val="17"/>
              </w:rPr>
              <w:t>Placement outcomes hub, case studies, definitions</w:t>
            </w:r>
          </w:p>
        </w:tc>
      </w:tr>
      <w:tr>
        <w:trPr>
          <w:cantSplit/>
        </w:trPr>
        <w:tc>
          <w:tcPr>
            <w:tcW w:type="dxa" w:w="2484"/>
            <w:vAlign w:val="center"/>
            <w:shd w:fill="F3F3F3"/>
          </w:tcPr>
          <w:p>
            <w:pPr>
              <w:spacing w:after="0"/>
            </w:pPr>
            <w:r/>
            <w:r>
              <w:rPr>
                <w:rFonts w:ascii="Arial" w:hAnsi="Arial"/>
                <w:b w:val="0"/>
                <w:color w:val="222222"/>
                <w:sz w:val="17"/>
              </w:rPr>
              <w:t>Local intent</w:t>
            </w:r>
          </w:p>
        </w:tc>
        <w:tc>
          <w:tcPr>
            <w:tcW w:type="dxa" w:w="2484"/>
            <w:vAlign w:val="center"/>
            <w:shd w:fill="F3F3F3"/>
          </w:tcPr>
          <w:p>
            <w:pPr>
              <w:spacing w:after="0"/>
            </w:pPr>
            <w:r/>
            <w:r>
              <w:rPr>
                <w:rFonts w:ascii="Arial" w:hAnsi="Arial"/>
                <w:b w:val="0"/>
                <w:color w:val="222222"/>
                <w:sz w:val="17"/>
              </w:rPr>
              <w:t>Is there a good institute near me in Thane/Mumbai/Navi Mumbai?</w:t>
            </w:r>
          </w:p>
        </w:tc>
        <w:tc>
          <w:tcPr>
            <w:tcW w:type="dxa" w:w="2484"/>
            <w:vAlign w:val="center"/>
            <w:shd w:fill="F3F3F3"/>
          </w:tcPr>
          <w:p>
            <w:pPr>
              <w:spacing w:after="0"/>
            </w:pPr>
            <w:r/>
            <w:r>
              <w:rPr>
                <w:rFonts w:ascii="Arial" w:hAnsi="Arial"/>
                <w:b w:val="0"/>
                <w:color w:val="222222"/>
                <w:sz w:val="17"/>
              </w:rPr>
              <w:t>Prove physical presence and convenience without keyword stuffing.</w:t>
            </w:r>
          </w:p>
        </w:tc>
        <w:tc>
          <w:tcPr>
            <w:tcW w:type="dxa" w:w="2484"/>
            <w:vAlign w:val="center"/>
            <w:shd w:fill="F3F3F3"/>
          </w:tcPr>
          <w:p>
            <w:pPr>
              <w:spacing w:after="0"/>
            </w:pPr>
            <w:r/>
            <w:r>
              <w:rPr>
                <w:rFonts w:ascii="Arial" w:hAnsi="Arial"/>
                <w:b w:val="0"/>
                <w:color w:val="222222"/>
                <w:sz w:val="17"/>
              </w:rPr>
              <w:t>Branch page, local guide, map/business profile</w:t>
            </w:r>
          </w:p>
        </w:tc>
      </w:tr>
    </w:tbl>
    <w:p>
      <w:pPr>
        <w:spacing w:after="40"/>
      </w:pPr>
    </w:p>
    <w:p>
      <w:r>
        <w:t>Important nuance: these are search/commercial language patterns, not direct voice-of-customer research. The web evidence can show what competitors and search pages choose to expose, but it cannot prove that these exact phrases are how every student speaks. [1] [2] [3] [4]</w:t>
      </w:r>
    </w:p>
    <w:p>
      <w:pPr>
        <w:pStyle w:val="Heading1"/>
      </w:pPr>
      <w:r>
        <w:t>5. Competitor messaging benchmark</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333333"/>
          </w:tcPr>
          <w:p>
            <w:pPr>
              <w:spacing w:after="0"/>
            </w:pPr>
            <w:r/>
            <w:r>
              <w:rPr>
                <w:rFonts w:ascii="Arial" w:hAnsi="Arial"/>
                <w:b/>
                <w:color w:val="FFFFFF"/>
                <w:sz w:val="18"/>
              </w:rPr>
              <w:t>Brand</w:t>
            </w:r>
          </w:p>
        </w:tc>
        <w:tc>
          <w:tcPr>
            <w:tcW w:type="dxa" w:w="2484"/>
            <w:vAlign w:val="center"/>
            <w:shd w:fill="333333"/>
          </w:tcPr>
          <w:p>
            <w:pPr>
              <w:spacing w:after="0"/>
            </w:pPr>
            <w:r/>
            <w:r>
              <w:rPr>
                <w:rFonts w:ascii="Arial" w:hAnsi="Arial"/>
                <w:b/>
                <w:color w:val="FFFFFF"/>
                <w:sz w:val="18"/>
              </w:rPr>
              <w:t>What it makes easy to decide</w:t>
            </w:r>
          </w:p>
        </w:tc>
        <w:tc>
          <w:tcPr>
            <w:tcW w:type="dxa" w:w="2484"/>
            <w:vAlign w:val="center"/>
            <w:shd w:fill="333333"/>
          </w:tcPr>
          <w:p>
            <w:pPr>
              <w:spacing w:after="0"/>
            </w:pPr>
            <w:r/>
            <w:r>
              <w:rPr>
                <w:rFonts w:ascii="Arial" w:hAnsi="Arial"/>
                <w:b/>
                <w:color w:val="FFFFFF"/>
                <w:sz w:val="18"/>
              </w:rPr>
              <w:t>Observed proof / mechanism</w:t>
            </w:r>
          </w:p>
        </w:tc>
        <w:tc>
          <w:tcPr>
            <w:tcW w:type="dxa" w:w="2484"/>
            <w:vAlign w:val="center"/>
            <w:shd w:fill="333333"/>
          </w:tcPr>
          <w:p>
            <w:pPr>
              <w:spacing w:after="0"/>
            </w:pPr>
            <w:r/>
            <w:r>
              <w:rPr>
                <w:rFonts w:ascii="Arial" w:hAnsi="Arial"/>
                <w:b/>
                <w:color w:val="FFFFFF"/>
                <w:sz w:val="18"/>
              </w:rPr>
              <w:t>Lesson for NetTech</w:t>
            </w:r>
          </w:p>
        </w:tc>
      </w:tr>
      <w:tr>
        <w:trPr>
          <w:cantSplit/>
        </w:trPr>
        <w:tc>
          <w:tcPr>
            <w:tcW w:type="dxa" w:w="2484"/>
            <w:vAlign w:val="center"/>
            <w:shd w:fill="F3F3F3"/>
          </w:tcPr>
          <w:p>
            <w:pPr>
              <w:spacing w:after="0"/>
            </w:pPr>
            <w:r/>
            <w:r>
              <w:rPr>
                <w:rFonts w:ascii="Arial" w:hAnsi="Arial"/>
                <w:b w:val="0"/>
                <w:color w:val="222222"/>
                <w:sz w:val="17"/>
              </w:rPr>
              <w:t>FITA Academy</w:t>
            </w:r>
          </w:p>
        </w:tc>
        <w:tc>
          <w:tcPr>
            <w:tcW w:type="dxa" w:w="2484"/>
            <w:vAlign w:val="center"/>
            <w:shd w:fill="F3F3F3"/>
          </w:tcPr>
          <w:p>
            <w:pPr>
              <w:spacing w:after="0"/>
            </w:pPr>
            <w:r/>
            <w:r>
              <w:rPr>
                <w:rFonts w:ascii="Arial" w:hAnsi="Arial"/>
                <w:b w:val="0"/>
                <w:color w:val="222222"/>
                <w:sz w:val="17"/>
              </w:rPr>
              <w:t>Data Analytics course choice</w:t>
            </w:r>
          </w:p>
        </w:tc>
        <w:tc>
          <w:tcPr>
            <w:tcW w:type="dxa" w:w="2484"/>
            <w:vAlign w:val="center"/>
            <w:shd w:fill="F3F3F3"/>
          </w:tcPr>
          <w:p>
            <w:pPr>
              <w:spacing w:after="0"/>
            </w:pPr>
            <w:r/>
            <w:r>
              <w:rPr>
                <w:rFonts w:ascii="Arial" w:hAnsi="Arial"/>
                <w:b w:val="0"/>
                <w:color w:val="222222"/>
                <w:sz w:val="17"/>
              </w:rPr>
              <w:t>Current batch dates, Google rating, student/partner counts, trainer experience, projects, placement-support framing, and a detailed student story. [1]</w:t>
            </w:r>
          </w:p>
        </w:tc>
        <w:tc>
          <w:tcPr>
            <w:tcW w:type="dxa" w:w="2484"/>
            <w:vAlign w:val="center"/>
            <w:shd w:fill="F3F3F3"/>
          </w:tcPr>
          <w:p>
            <w:pPr>
              <w:spacing w:after="0"/>
            </w:pPr>
            <w:r/>
            <w:r>
              <w:rPr>
                <w:rFonts w:ascii="Arial" w:hAnsi="Arial"/>
                <w:b w:val="0"/>
                <w:color w:val="222222"/>
                <w:sz w:val="17"/>
              </w:rPr>
              <w:t>Expose decision facts near the CTA; use specific stories instead of generic outcome language.</w:t>
            </w:r>
          </w:p>
        </w:tc>
      </w:tr>
      <w:tr>
        <w:trPr>
          <w:cantSplit/>
        </w:trPr>
        <w:tc>
          <w:tcPr>
            <w:tcW w:type="dxa" w:w="2484"/>
            <w:vAlign w:val="center"/>
          </w:tcPr>
          <w:p>
            <w:pPr>
              <w:spacing w:after="0"/>
            </w:pPr>
            <w:r/>
            <w:r>
              <w:rPr>
                <w:rFonts w:ascii="Arial" w:hAnsi="Arial"/>
                <w:b w:val="0"/>
                <w:color w:val="222222"/>
                <w:sz w:val="17"/>
              </w:rPr>
              <w:t>Awdiz</w:t>
            </w:r>
          </w:p>
        </w:tc>
        <w:tc>
          <w:tcPr>
            <w:tcW w:type="dxa" w:w="2484"/>
            <w:vAlign w:val="center"/>
          </w:tcPr>
          <w:p>
            <w:pPr>
              <w:spacing w:after="0"/>
            </w:pPr>
            <w:r/>
            <w:r>
              <w:rPr>
                <w:rFonts w:ascii="Arial" w:hAnsi="Arial"/>
                <w:b w:val="0"/>
                <w:color w:val="222222"/>
                <w:sz w:val="17"/>
              </w:rPr>
              <w:t>Data Analytics / AI program choice</w:t>
            </w:r>
          </w:p>
        </w:tc>
        <w:tc>
          <w:tcPr>
            <w:tcW w:type="dxa" w:w="2484"/>
            <w:vAlign w:val="center"/>
          </w:tcPr>
          <w:p>
            <w:pPr>
              <w:spacing w:after="0"/>
            </w:pPr>
            <w:r/>
            <w:r>
              <w:rPr>
                <w:rFonts w:ascii="Arial" w:hAnsi="Arial"/>
                <w:b w:val="0"/>
                <w:color w:val="222222"/>
                <w:sz w:val="17"/>
              </w:rPr>
              <w:t>Fees, duration, eligibility, batch dates, monthly payment framing, explicit tool lists, project examples, and strong job-guarantee positioning. [2]</w:t>
            </w:r>
          </w:p>
        </w:tc>
        <w:tc>
          <w:tcPr>
            <w:tcW w:type="dxa" w:w="2484"/>
            <w:vAlign w:val="center"/>
          </w:tcPr>
          <w:p>
            <w:pPr>
              <w:spacing w:after="0"/>
            </w:pPr>
            <w:r/>
            <w:r>
              <w:rPr>
                <w:rFonts w:ascii="Arial" w:hAnsi="Arial"/>
                <w:b w:val="0"/>
                <w:color w:val="222222"/>
                <w:sz w:val="17"/>
              </w:rPr>
              <w:t>Be equally specific, but do not copy guarantee language. NetTech should compete on transparent assistance and evidence.</w:t>
            </w:r>
          </w:p>
        </w:tc>
      </w:tr>
      <w:tr>
        <w:trPr>
          <w:cantSplit/>
        </w:trPr>
        <w:tc>
          <w:tcPr>
            <w:tcW w:type="dxa" w:w="2484"/>
            <w:vAlign w:val="center"/>
            <w:shd w:fill="F3F3F3"/>
          </w:tcPr>
          <w:p>
            <w:pPr>
              <w:spacing w:after="0"/>
            </w:pPr>
            <w:r/>
            <w:r>
              <w:rPr>
                <w:rFonts w:ascii="Arial" w:hAnsi="Arial"/>
                <w:b w:val="0"/>
                <w:color w:val="222222"/>
                <w:sz w:val="17"/>
              </w:rPr>
              <w:t>SevenMentor</w:t>
            </w:r>
          </w:p>
        </w:tc>
        <w:tc>
          <w:tcPr>
            <w:tcW w:type="dxa" w:w="2484"/>
            <w:vAlign w:val="center"/>
            <w:shd w:fill="F3F3F3"/>
          </w:tcPr>
          <w:p>
            <w:pPr>
              <w:spacing w:after="0"/>
            </w:pPr>
            <w:r/>
            <w:r>
              <w:rPr>
                <w:rFonts w:ascii="Arial" w:hAnsi="Arial"/>
                <w:b w:val="0"/>
                <w:color w:val="222222"/>
                <w:sz w:val="17"/>
              </w:rPr>
              <w:t>Local Data Analytics enrollment</w:t>
            </w:r>
          </w:p>
        </w:tc>
        <w:tc>
          <w:tcPr>
            <w:tcW w:type="dxa" w:w="2484"/>
            <w:vAlign w:val="center"/>
            <w:shd w:fill="F3F3F3"/>
          </w:tcPr>
          <w:p>
            <w:pPr>
              <w:spacing w:after="0"/>
            </w:pPr>
            <w:r/>
            <w:r>
              <w:rPr>
                <w:rFonts w:ascii="Arial" w:hAnsi="Arial"/>
                <w:b w:val="0"/>
                <w:color w:val="222222"/>
                <w:sz w:val="17"/>
              </w:rPr>
              <w:t>Upcoming batch schedule, classroom/online mode, named project examples, FAQ covering duration, support and fees. [3]</w:t>
            </w:r>
          </w:p>
        </w:tc>
        <w:tc>
          <w:tcPr>
            <w:tcW w:type="dxa" w:w="2484"/>
            <w:vAlign w:val="center"/>
            <w:shd w:fill="F3F3F3"/>
          </w:tcPr>
          <w:p>
            <w:pPr>
              <w:spacing w:after="0"/>
            </w:pPr>
            <w:r/>
            <w:r>
              <w:rPr>
                <w:rFonts w:ascii="Arial" w:hAnsi="Arial"/>
                <w:b w:val="0"/>
                <w:color w:val="222222"/>
                <w:sz w:val="17"/>
              </w:rPr>
              <w:t>Make “when can I start?” and “what will I build?” first-class answers.</w:t>
            </w:r>
          </w:p>
        </w:tc>
      </w:tr>
      <w:tr>
        <w:trPr>
          <w:cantSplit/>
        </w:trPr>
        <w:tc>
          <w:tcPr>
            <w:tcW w:type="dxa" w:w="2484"/>
            <w:vAlign w:val="center"/>
          </w:tcPr>
          <w:p>
            <w:pPr>
              <w:spacing w:after="0"/>
            </w:pPr>
            <w:r/>
            <w:r>
              <w:rPr>
                <w:rFonts w:ascii="Arial" w:hAnsi="Arial"/>
                <w:b w:val="0"/>
                <w:color w:val="222222"/>
                <w:sz w:val="17"/>
              </w:rPr>
              <w:t>IIDE</w:t>
            </w:r>
          </w:p>
        </w:tc>
        <w:tc>
          <w:tcPr>
            <w:tcW w:type="dxa" w:w="2484"/>
            <w:vAlign w:val="center"/>
          </w:tcPr>
          <w:p>
            <w:pPr>
              <w:spacing w:after="0"/>
            </w:pPr>
            <w:r/>
            <w:r>
              <w:rPr>
                <w:rFonts w:ascii="Arial" w:hAnsi="Arial"/>
                <w:b w:val="0"/>
                <w:color w:val="222222"/>
                <w:sz w:val="17"/>
              </w:rPr>
              <w:t>AI course segmentation</w:t>
            </w:r>
          </w:p>
        </w:tc>
        <w:tc>
          <w:tcPr>
            <w:tcW w:type="dxa" w:w="2484"/>
            <w:vAlign w:val="center"/>
          </w:tcPr>
          <w:p>
            <w:pPr>
              <w:spacing w:after="0"/>
            </w:pPr>
            <w:r/>
            <w:r>
              <w:rPr>
                <w:rFonts w:ascii="Arial" w:hAnsi="Arial"/>
                <w:b w:val="0"/>
                <w:color w:val="222222"/>
                <w:sz w:val="17"/>
              </w:rPr>
              <w:t>Clear segmentation by audience/program, duration, modules, tools, project count, upcoming cohort dates and current fee ranges. [4]</w:t>
            </w:r>
          </w:p>
        </w:tc>
        <w:tc>
          <w:tcPr>
            <w:tcW w:type="dxa" w:w="2484"/>
            <w:vAlign w:val="center"/>
          </w:tcPr>
          <w:p>
            <w:pPr>
              <w:spacing w:after="0"/>
            </w:pPr>
            <w:r/>
            <w:r>
              <w:rPr>
                <w:rFonts w:ascii="Arial" w:hAnsi="Arial"/>
                <w:b w:val="0"/>
                <w:color w:val="222222"/>
                <w:sz w:val="17"/>
              </w:rPr>
              <w:t>Create clearer paths for freshers, working professionals and advanced learners rather than one generic AI promise.</w:t>
            </w:r>
          </w:p>
        </w:tc>
      </w:tr>
    </w:tbl>
    <w:p>
      <w:pPr>
        <w:spacing w:after="40"/>
      </w:pPr>
    </w:p>
    <w:p>
      <w:r>
        <w:t>The strategic lesson is not to imitate their superlatives. It is to copy their information architecture: current decision facts, visible proof, explicit program mechanics, and a CTA that tells the visitor exactly what they will get next.</w:t>
      </w:r>
    </w:p>
    <w:p>
      <w:pPr>
        <w:pStyle w:val="Heading1"/>
      </w:pPr>
      <w:r>
        <w:t>6. Reputation and trust: the copy constraint to design around</w:t>
      </w:r>
    </w:p>
    <w:p>
      <w:r>
        <w:t>Independent sources show a mixed reputation surface. Collegedunia currently aggregates 1,009 Google Reviews and shows both positive themes about faculty/training and negative themes about management, notes, faculty quality and placement expectations. Justdial exposes similarly mixed student and former-employee commentary. ConsumerComplaints.in contains a public complaint alleging misleading placement and payment practices. That complaint is a user allegation, not a finding of wrongdoing, but it is still a discoverable trust signal that copy and reputation teams should account for. [5] [6] [7]</w:t>
      </w:r>
    </w:p>
    <w:p>
      <w:r>
        <w:t>The practical response is not to hide criticism or inflate praise. It is to make the claims more precise and auditable. The key semantic distinction should be: training -&gt; interview preparation -&gt; job opportunity access -&gt; placement assistance -&gt; actual employment outcome. Only the last item should be presented as an outcome for a specific student/cohort when evidence supports it.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333333"/>
          </w:tcPr>
          <w:p>
            <w:pPr>
              <w:spacing w:after="0"/>
            </w:pPr>
            <w:r/>
            <w:r>
              <w:rPr>
                <w:rFonts w:ascii="Arial" w:hAnsi="Arial"/>
                <w:b/>
                <w:color w:val="FFFFFF"/>
                <w:sz w:val="18"/>
              </w:rPr>
              <w:t>Claim type</w:t>
            </w:r>
          </w:p>
        </w:tc>
        <w:tc>
          <w:tcPr>
            <w:tcW w:type="dxa" w:w="3312"/>
            <w:vAlign w:val="center"/>
            <w:shd w:fill="333333"/>
          </w:tcPr>
          <w:p>
            <w:pPr>
              <w:spacing w:after="0"/>
            </w:pPr>
            <w:r/>
            <w:r>
              <w:rPr>
                <w:rFonts w:ascii="Arial" w:hAnsi="Arial"/>
                <w:b/>
                <w:color w:val="FFFFFF"/>
                <w:sz w:val="18"/>
              </w:rPr>
              <w:t>Safer wording direction</w:t>
            </w:r>
          </w:p>
        </w:tc>
        <w:tc>
          <w:tcPr>
            <w:tcW w:type="dxa" w:w="3312"/>
            <w:vAlign w:val="center"/>
            <w:shd w:fill="333333"/>
          </w:tcPr>
          <w:p>
            <w:pPr>
              <w:spacing w:after="0"/>
            </w:pPr>
            <w:r/>
            <w:r>
              <w:rPr>
                <w:rFonts w:ascii="Arial" w:hAnsi="Arial"/>
                <w:b/>
                <w:color w:val="FFFFFF"/>
                <w:sz w:val="18"/>
              </w:rPr>
              <w:t>Evidence to publish</w:t>
            </w:r>
          </w:p>
        </w:tc>
      </w:tr>
      <w:tr>
        <w:trPr>
          <w:cantSplit/>
        </w:trPr>
        <w:tc>
          <w:tcPr>
            <w:tcW w:type="dxa" w:w="3312"/>
            <w:vAlign w:val="center"/>
            <w:shd w:fill="F3F3F3"/>
          </w:tcPr>
          <w:p>
            <w:pPr>
              <w:spacing w:after="0"/>
            </w:pPr>
            <w:r/>
            <w:r>
              <w:rPr>
                <w:rFonts w:ascii="Arial" w:hAnsi="Arial"/>
                <w:b w:val="0"/>
                <w:color w:val="222222"/>
                <w:sz w:val="17"/>
              </w:rPr>
              <w:t>Scale</w:t>
            </w:r>
          </w:p>
        </w:tc>
        <w:tc>
          <w:tcPr>
            <w:tcW w:type="dxa" w:w="3312"/>
            <w:vAlign w:val="center"/>
            <w:shd w:fill="F3F3F3"/>
          </w:tcPr>
          <w:p>
            <w:pPr>
              <w:spacing w:after="0"/>
            </w:pPr>
            <w:r/>
            <w:r>
              <w:rPr>
                <w:rFonts w:ascii="Arial" w:hAnsi="Arial"/>
                <w:b w:val="0"/>
                <w:color w:val="222222"/>
                <w:sz w:val="17"/>
              </w:rPr>
              <w:t>“80K+ students trained/certified” only after the internal definition is standardized.</w:t>
            </w:r>
          </w:p>
        </w:tc>
        <w:tc>
          <w:tcPr>
            <w:tcW w:type="dxa" w:w="3312"/>
            <w:vAlign w:val="center"/>
            <w:shd w:fill="F3F3F3"/>
          </w:tcPr>
          <w:p>
            <w:pPr>
              <w:spacing w:after="0"/>
            </w:pPr>
            <w:r/>
            <w:r>
              <w:rPr>
                <w:rFonts w:ascii="Arial" w:hAnsi="Arial"/>
                <w:b w:val="0"/>
                <w:color w:val="222222"/>
                <w:sz w:val="17"/>
              </w:rPr>
              <w:t>Reporting period, definition, source system.</w:t>
            </w:r>
          </w:p>
        </w:tc>
      </w:tr>
      <w:tr>
        <w:trPr>
          <w:cantSplit/>
        </w:trPr>
        <w:tc>
          <w:tcPr>
            <w:tcW w:type="dxa" w:w="3312"/>
            <w:vAlign w:val="center"/>
          </w:tcPr>
          <w:p>
            <w:pPr>
              <w:spacing w:after="0"/>
            </w:pPr>
            <w:r/>
            <w:r>
              <w:rPr>
                <w:rFonts w:ascii="Arial" w:hAnsi="Arial"/>
                <w:b w:val="0"/>
                <w:color w:val="222222"/>
                <w:sz w:val="17"/>
              </w:rPr>
              <w:t>Hiring network</w:t>
            </w:r>
          </w:p>
        </w:tc>
        <w:tc>
          <w:tcPr>
            <w:tcW w:type="dxa" w:w="3312"/>
            <w:vAlign w:val="center"/>
          </w:tcPr>
          <w:p>
            <w:pPr>
              <w:spacing w:after="0"/>
            </w:pPr>
            <w:r/>
            <w:r>
              <w:rPr>
                <w:rFonts w:ascii="Arial" w:hAnsi="Arial"/>
                <w:b w:val="0"/>
                <w:color w:val="222222"/>
                <w:sz w:val="17"/>
              </w:rPr>
              <w:t>“4,000+ hiring partners/companies” with a clear definition.</w:t>
            </w:r>
          </w:p>
        </w:tc>
        <w:tc>
          <w:tcPr>
            <w:tcW w:type="dxa" w:w="3312"/>
            <w:vAlign w:val="center"/>
          </w:tcPr>
          <w:p>
            <w:pPr>
              <w:spacing w:after="0"/>
            </w:pPr>
            <w:r/>
            <w:r>
              <w:rPr>
                <w:rFonts w:ascii="Arial" w:hAnsi="Arial"/>
                <w:b w:val="0"/>
                <w:color w:val="222222"/>
                <w:sz w:val="17"/>
              </w:rPr>
              <w:t>Partner list or representative verified examples, date last updated.</w:t>
            </w:r>
          </w:p>
        </w:tc>
      </w:tr>
      <w:tr>
        <w:trPr>
          <w:cantSplit/>
        </w:trPr>
        <w:tc>
          <w:tcPr>
            <w:tcW w:type="dxa" w:w="3312"/>
            <w:vAlign w:val="center"/>
            <w:shd w:fill="F3F3F3"/>
          </w:tcPr>
          <w:p>
            <w:pPr>
              <w:spacing w:after="0"/>
            </w:pPr>
            <w:r/>
            <w:r>
              <w:rPr>
                <w:rFonts w:ascii="Arial" w:hAnsi="Arial"/>
                <w:b w:val="0"/>
                <w:color w:val="222222"/>
                <w:sz w:val="17"/>
              </w:rPr>
              <w:t>Placement assistance</w:t>
            </w:r>
          </w:p>
        </w:tc>
        <w:tc>
          <w:tcPr>
            <w:tcW w:type="dxa" w:w="3312"/>
            <w:vAlign w:val="center"/>
            <w:shd w:fill="F3F3F3"/>
          </w:tcPr>
          <w:p>
            <w:pPr>
              <w:spacing w:after="0"/>
            </w:pPr>
            <w:r/>
            <w:r>
              <w:rPr>
                <w:rFonts w:ascii="Arial" w:hAnsi="Arial"/>
                <w:b w:val="0"/>
                <w:color w:val="222222"/>
                <w:sz w:val="17"/>
              </w:rPr>
              <w:t>“Placement assistance” rather than “100% jobs” or universal employment guarantees.</w:t>
            </w:r>
          </w:p>
        </w:tc>
        <w:tc>
          <w:tcPr>
            <w:tcW w:type="dxa" w:w="3312"/>
            <w:vAlign w:val="center"/>
            <w:shd w:fill="F3F3F3"/>
          </w:tcPr>
          <w:p>
            <w:pPr>
              <w:spacing w:after="0"/>
            </w:pPr>
            <w:r/>
            <w:r>
              <w:rPr>
                <w:rFonts w:ascii="Arial" w:hAnsi="Arial"/>
                <w:b w:val="0"/>
                <w:color w:val="222222"/>
                <w:sz w:val="17"/>
              </w:rPr>
              <w:t>Process, eligibility, interview prep, referral/drives, support duration.</w:t>
            </w:r>
          </w:p>
        </w:tc>
      </w:tr>
      <w:tr>
        <w:trPr>
          <w:cantSplit/>
        </w:trPr>
        <w:tc>
          <w:tcPr>
            <w:tcW w:type="dxa" w:w="3312"/>
            <w:vAlign w:val="center"/>
          </w:tcPr>
          <w:p>
            <w:pPr>
              <w:spacing w:after="0"/>
            </w:pPr>
            <w:r/>
            <w:r>
              <w:rPr>
                <w:rFonts w:ascii="Arial" w:hAnsi="Arial"/>
                <w:b w:val="0"/>
                <w:color w:val="222222"/>
                <w:sz w:val="17"/>
              </w:rPr>
              <w:t>Certification</w:t>
            </w:r>
          </w:p>
        </w:tc>
        <w:tc>
          <w:tcPr>
            <w:tcW w:type="dxa" w:w="3312"/>
            <w:vAlign w:val="center"/>
          </w:tcPr>
          <w:p>
            <w:pPr>
              <w:spacing w:after="0"/>
            </w:pPr>
            <w:r/>
            <w:r>
              <w:rPr>
                <w:rFonts w:ascii="Arial" w:hAnsi="Arial"/>
                <w:b w:val="0"/>
                <w:color w:val="222222"/>
                <w:sz w:val="17"/>
              </w:rPr>
              <w:t>State exactly what certificate is issued and under what partnership/authorization.</w:t>
            </w:r>
          </w:p>
        </w:tc>
        <w:tc>
          <w:tcPr>
            <w:tcW w:type="dxa" w:w="3312"/>
            <w:vAlign w:val="center"/>
          </w:tcPr>
          <w:p>
            <w:pPr>
              <w:spacing w:after="0"/>
            </w:pPr>
            <w:r/>
            <w:r>
              <w:rPr>
                <w:rFonts w:ascii="Arial" w:hAnsi="Arial"/>
                <w:b w:val="0"/>
                <w:color w:val="222222"/>
                <w:sz w:val="17"/>
              </w:rPr>
              <w:t>Program name, issuer, partner scope and evidence.</w:t>
            </w:r>
          </w:p>
        </w:tc>
      </w:tr>
      <w:tr>
        <w:trPr>
          <w:cantSplit/>
        </w:trPr>
        <w:tc>
          <w:tcPr>
            <w:tcW w:type="dxa" w:w="3312"/>
            <w:vAlign w:val="center"/>
            <w:shd w:fill="F3F3F3"/>
          </w:tcPr>
          <w:p>
            <w:pPr>
              <w:spacing w:after="0"/>
            </w:pPr>
            <w:r/>
            <w:r>
              <w:rPr>
                <w:rFonts w:ascii="Arial" w:hAnsi="Arial"/>
                <w:b w:val="0"/>
                <w:color w:val="222222"/>
                <w:sz w:val="17"/>
              </w:rPr>
              <w:t>Student success</w:t>
            </w:r>
          </w:p>
        </w:tc>
        <w:tc>
          <w:tcPr>
            <w:tcW w:type="dxa" w:w="3312"/>
            <w:vAlign w:val="center"/>
            <w:shd w:fill="F3F3F3"/>
          </w:tcPr>
          <w:p>
            <w:pPr>
              <w:spacing w:after="0"/>
            </w:pPr>
            <w:r/>
            <w:r>
              <w:rPr>
                <w:rFonts w:ascii="Arial" w:hAnsi="Arial"/>
                <w:b w:val="0"/>
                <w:color w:val="222222"/>
                <w:sz w:val="17"/>
              </w:rPr>
              <w:t>“Sahil Chouhan joined as Power BI Developer…” rather than “we get you hired”.</w:t>
            </w:r>
          </w:p>
        </w:tc>
        <w:tc>
          <w:tcPr>
            <w:tcW w:type="dxa" w:w="3312"/>
            <w:vAlign w:val="center"/>
            <w:shd w:fill="F3F3F3"/>
          </w:tcPr>
          <w:p>
            <w:pPr>
              <w:spacing w:after="0"/>
            </w:pPr>
            <w:r/>
            <w:r>
              <w:rPr>
                <w:rFonts w:ascii="Arial" w:hAnsi="Arial"/>
                <w:b w:val="0"/>
                <w:color w:val="222222"/>
                <w:sz w:val="17"/>
              </w:rPr>
              <w:t>Permissioned student story, role, employer, course, date.</w:t>
            </w:r>
          </w:p>
        </w:tc>
      </w:tr>
    </w:tbl>
    <w:p>
      <w:pPr>
        <w:spacing w:after="40"/>
      </w:pPr>
    </w:p>
    <w:p>
      <w:pPr>
        <w:pStyle w:val="Heading1"/>
      </w:pPr>
      <w:r>
        <w:t>7. Copy audit: where the current site is strong and where it leaks conversion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333333"/>
          </w:tcPr>
          <w:p>
            <w:pPr>
              <w:spacing w:after="0"/>
            </w:pPr>
            <w:r/>
            <w:r>
              <w:rPr>
                <w:rFonts w:ascii="Arial" w:hAnsi="Arial"/>
                <w:b/>
                <w:color w:val="FFFFFF"/>
                <w:sz w:val="18"/>
              </w:rPr>
              <w:t>Current pattern</w:t>
            </w:r>
          </w:p>
        </w:tc>
        <w:tc>
          <w:tcPr>
            <w:tcW w:type="dxa" w:w="2484"/>
            <w:vAlign w:val="center"/>
            <w:shd w:fill="333333"/>
          </w:tcPr>
          <w:p>
            <w:pPr>
              <w:spacing w:after="0"/>
            </w:pPr>
            <w:r/>
            <w:r>
              <w:rPr>
                <w:rFonts w:ascii="Arial" w:hAnsi="Arial"/>
                <w:b/>
                <w:color w:val="FFFFFF"/>
                <w:sz w:val="18"/>
              </w:rPr>
              <w:t>Why it helps</w:t>
            </w:r>
          </w:p>
        </w:tc>
        <w:tc>
          <w:tcPr>
            <w:tcW w:type="dxa" w:w="2484"/>
            <w:vAlign w:val="center"/>
            <w:shd w:fill="333333"/>
          </w:tcPr>
          <w:p>
            <w:pPr>
              <w:spacing w:after="0"/>
            </w:pPr>
            <w:r/>
            <w:r>
              <w:rPr>
                <w:rFonts w:ascii="Arial" w:hAnsi="Arial"/>
                <w:b/>
                <w:color w:val="FFFFFF"/>
                <w:sz w:val="18"/>
              </w:rPr>
              <w:t>Why it underperforms</w:t>
            </w:r>
          </w:p>
        </w:tc>
        <w:tc>
          <w:tcPr>
            <w:tcW w:type="dxa" w:w="2484"/>
            <w:vAlign w:val="center"/>
            <w:shd w:fill="333333"/>
          </w:tcPr>
          <w:p>
            <w:pPr>
              <w:spacing w:after="0"/>
            </w:pPr>
            <w:r/>
            <w:r>
              <w:rPr>
                <w:rFonts w:ascii="Arial" w:hAnsi="Arial"/>
                <w:b/>
                <w:color w:val="FFFFFF"/>
                <w:sz w:val="18"/>
              </w:rPr>
              <w:t>Recommended rewrite direction</w:t>
            </w:r>
          </w:p>
        </w:tc>
      </w:tr>
      <w:tr>
        <w:trPr>
          <w:cantSplit/>
        </w:trPr>
        <w:tc>
          <w:tcPr>
            <w:tcW w:type="dxa" w:w="2484"/>
            <w:vAlign w:val="center"/>
            <w:shd w:fill="F3F3F3"/>
          </w:tcPr>
          <w:p>
            <w:pPr>
              <w:spacing w:after="0"/>
            </w:pPr>
            <w:r/>
            <w:r>
              <w:rPr>
                <w:rFonts w:ascii="Arial" w:hAnsi="Arial"/>
                <w:b w:val="0"/>
                <w:color w:val="222222"/>
                <w:sz w:val="17"/>
              </w:rPr>
              <w:t>“Best / leading / job-oriented” positioning</w:t>
            </w:r>
          </w:p>
        </w:tc>
        <w:tc>
          <w:tcPr>
            <w:tcW w:type="dxa" w:w="2484"/>
            <w:vAlign w:val="center"/>
            <w:shd w:fill="F3F3F3"/>
          </w:tcPr>
          <w:p>
            <w:pPr>
              <w:spacing w:after="0"/>
            </w:pPr>
            <w:r/>
            <w:r>
              <w:rPr>
                <w:rFonts w:ascii="Arial" w:hAnsi="Arial"/>
                <w:b w:val="0"/>
                <w:color w:val="222222"/>
                <w:sz w:val="17"/>
              </w:rPr>
              <w:t>Signals category relevance.</w:t>
            </w:r>
          </w:p>
        </w:tc>
        <w:tc>
          <w:tcPr>
            <w:tcW w:type="dxa" w:w="2484"/>
            <w:vAlign w:val="center"/>
            <w:shd w:fill="F3F3F3"/>
          </w:tcPr>
          <w:p>
            <w:pPr>
              <w:spacing w:after="0"/>
            </w:pPr>
            <w:r/>
            <w:r>
              <w:rPr>
                <w:rFonts w:ascii="Arial" w:hAnsi="Arial"/>
                <w:b w:val="0"/>
                <w:color w:val="222222"/>
                <w:sz w:val="17"/>
              </w:rPr>
              <w:t>Nearly every competitor uses the same language; it does not explain why this provider is different.</w:t>
            </w:r>
          </w:p>
        </w:tc>
        <w:tc>
          <w:tcPr>
            <w:tcW w:type="dxa" w:w="2484"/>
            <w:vAlign w:val="center"/>
            <w:shd w:fill="F3F3F3"/>
          </w:tcPr>
          <w:p>
            <w:pPr>
              <w:spacing w:after="0"/>
            </w:pPr>
            <w:r/>
            <w:r>
              <w:rPr>
                <w:rFonts w:ascii="Arial" w:hAnsi="Arial"/>
                <w:b w:val="0"/>
                <w:color w:val="222222"/>
                <w:sz w:val="17"/>
              </w:rPr>
              <w:t>Lead with the learner transformation and the proof that makes it credible.</w:t>
            </w:r>
          </w:p>
        </w:tc>
      </w:tr>
      <w:tr>
        <w:trPr>
          <w:cantSplit/>
        </w:trPr>
        <w:tc>
          <w:tcPr>
            <w:tcW w:type="dxa" w:w="2484"/>
            <w:vAlign w:val="center"/>
          </w:tcPr>
          <w:p>
            <w:pPr>
              <w:spacing w:after="0"/>
            </w:pPr>
            <w:r/>
            <w:r>
              <w:rPr>
                <w:rFonts w:ascii="Arial" w:hAnsi="Arial"/>
                <w:b w:val="0"/>
                <w:color w:val="222222"/>
                <w:sz w:val="17"/>
              </w:rPr>
              <w:t>“100% placement assistance” repeated widely</w:t>
            </w:r>
          </w:p>
        </w:tc>
        <w:tc>
          <w:tcPr>
            <w:tcW w:type="dxa" w:w="2484"/>
            <w:vAlign w:val="center"/>
          </w:tcPr>
          <w:p>
            <w:pPr>
              <w:spacing w:after="0"/>
            </w:pPr>
            <w:r/>
            <w:r>
              <w:rPr>
                <w:rFonts w:ascii="Arial" w:hAnsi="Arial"/>
                <w:b w:val="0"/>
                <w:color w:val="222222"/>
                <w:sz w:val="17"/>
              </w:rPr>
              <w:t>Easy-to-understand promise.</w:t>
            </w:r>
          </w:p>
        </w:tc>
        <w:tc>
          <w:tcPr>
            <w:tcW w:type="dxa" w:w="2484"/>
            <w:vAlign w:val="center"/>
          </w:tcPr>
          <w:p>
            <w:pPr>
              <w:spacing w:after="0"/>
            </w:pPr>
            <w:r/>
            <w:r>
              <w:rPr>
                <w:rFonts w:ascii="Arial" w:hAnsi="Arial"/>
                <w:b w:val="0"/>
                <w:color w:val="222222"/>
                <w:sz w:val="17"/>
              </w:rPr>
              <w:t>Can be read as a job guarantee unless the definition is explicit; third-party reputation makes ambiguity costly.</w:t>
            </w:r>
          </w:p>
        </w:tc>
        <w:tc>
          <w:tcPr>
            <w:tcW w:type="dxa" w:w="2484"/>
            <w:vAlign w:val="center"/>
          </w:tcPr>
          <w:p>
            <w:pPr>
              <w:spacing w:after="0"/>
            </w:pPr>
            <w:r/>
            <w:r>
              <w:rPr>
                <w:rFonts w:ascii="Arial" w:hAnsi="Arial"/>
                <w:b w:val="0"/>
                <w:color w:val="222222"/>
                <w:sz w:val="17"/>
              </w:rPr>
              <w:t>Use “placement assistance” with a visible process and outcome definitions.</w:t>
            </w:r>
          </w:p>
        </w:tc>
      </w:tr>
      <w:tr>
        <w:trPr>
          <w:cantSplit/>
        </w:trPr>
        <w:tc>
          <w:tcPr>
            <w:tcW w:type="dxa" w:w="2484"/>
            <w:vAlign w:val="center"/>
            <w:shd w:fill="F3F3F3"/>
          </w:tcPr>
          <w:p>
            <w:pPr>
              <w:spacing w:after="0"/>
            </w:pPr>
            <w:r/>
            <w:r>
              <w:rPr>
                <w:rFonts w:ascii="Arial" w:hAnsi="Arial"/>
                <w:b w:val="0"/>
                <w:color w:val="222222"/>
                <w:sz w:val="17"/>
              </w:rPr>
              <w:t>Very broad course catalogue</w:t>
            </w:r>
          </w:p>
        </w:tc>
        <w:tc>
          <w:tcPr>
            <w:tcW w:type="dxa" w:w="2484"/>
            <w:vAlign w:val="center"/>
            <w:shd w:fill="F3F3F3"/>
          </w:tcPr>
          <w:p>
            <w:pPr>
              <w:spacing w:after="0"/>
            </w:pPr>
            <w:r/>
            <w:r>
              <w:rPr>
                <w:rFonts w:ascii="Arial" w:hAnsi="Arial"/>
                <w:b w:val="0"/>
                <w:color w:val="222222"/>
                <w:sz w:val="17"/>
              </w:rPr>
              <w:t>Captures long-tail searches.</w:t>
            </w:r>
          </w:p>
        </w:tc>
        <w:tc>
          <w:tcPr>
            <w:tcW w:type="dxa" w:w="2484"/>
            <w:vAlign w:val="center"/>
            <w:shd w:fill="F3F3F3"/>
          </w:tcPr>
          <w:p>
            <w:pPr>
              <w:spacing w:after="0"/>
            </w:pPr>
            <w:r/>
            <w:r>
              <w:rPr>
                <w:rFonts w:ascii="Arial" w:hAnsi="Arial"/>
                <w:b w:val="0"/>
                <w:color w:val="222222"/>
                <w:sz w:val="17"/>
              </w:rPr>
              <w:t>Can make the brand feel like a catalogue rather than an expert in specific careers.</w:t>
            </w:r>
          </w:p>
        </w:tc>
        <w:tc>
          <w:tcPr>
            <w:tcW w:type="dxa" w:w="2484"/>
            <w:vAlign w:val="center"/>
            <w:shd w:fill="F3F3F3"/>
          </w:tcPr>
          <w:p>
            <w:pPr>
              <w:spacing w:after="0"/>
            </w:pPr>
            <w:r/>
            <w:r>
              <w:rPr>
                <w:rFonts w:ascii="Arial" w:hAnsi="Arial"/>
                <w:b w:val="0"/>
                <w:color w:val="222222"/>
                <w:sz w:val="17"/>
              </w:rPr>
              <w:t>Create a few flagship career hubs and strong course spokes.</w:t>
            </w:r>
          </w:p>
        </w:tc>
      </w:tr>
      <w:tr>
        <w:trPr>
          <w:cantSplit/>
        </w:trPr>
        <w:tc>
          <w:tcPr>
            <w:tcW w:type="dxa" w:w="2484"/>
            <w:vAlign w:val="center"/>
          </w:tcPr>
          <w:p>
            <w:pPr>
              <w:spacing w:after="0"/>
            </w:pPr>
            <w:r/>
            <w:r>
              <w:rPr>
                <w:rFonts w:ascii="Arial" w:hAnsi="Arial"/>
                <w:b w:val="0"/>
                <w:color w:val="222222"/>
                <w:sz w:val="17"/>
              </w:rPr>
              <w:t>Fees often “on enquiry”</w:t>
            </w:r>
          </w:p>
        </w:tc>
        <w:tc>
          <w:tcPr>
            <w:tcW w:type="dxa" w:w="2484"/>
            <w:vAlign w:val="center"/>
          </w:tcPr>
          <w:p>
            <w:pPr>
              <w:spacing w:after="0"/>
            </w:pPr>
            <w:r/>
            <w:r>
              <w:rPr>
                <w:rFonts w:ascii="Arial" w:hAnsi="Arial"/>
                <w:b w:val="0"/>
                <w:color w:val="222222"/>
                <w:sz w:val="17"/>
              </w:rPr>
              <w:t>Creates a lead form opportunity.</w:t>
            </w:r>
          </w:p>
        </w:tc>
        <w:tc>
          <w:tcPr>
            <w:tcW w:type="dxa" w:w="2484"/>
            <w:vAlign w:val="center"/>
          </w:tcPr>
          <w:p>
            <w:pPr>
              <w:spacing w:after="0"/>
            </w:pPr>
            <w:r/>
            <w:r>
              <w:rPr>
                <w:rFonts w:ascii="Arial" w:hAnsi="Arial"/>
                <w:b w:val="0"/>
                <w:color w:val="222222"/>
                <w:sz w:val="17"/>
              </w:rPr>
              <w:t>For high-intent traffic, withheld pricing increases uncertainty and pushes comparisons to competitors.</w:t>
            </w:r>
          </w:p>
        </w:tc>
        <w:tc>
          <w:tcPr>
            <w:tcW w:type="dxa" w:w="2484"/>
            <w:vAlign w:val="center"/>
          </w:tcPr>
          <w:p>
            <w:pPr>
              <w:spacing w:after="0"/>
            </w:pPr>
            <w:r/>
            <w:r>
              <w:rPr>
                <w:rFonts w:ascii="Arial" w:hAnsi="Arial"/>
                <w:b w:val="0"/>
                <w:color w:val="222222"/>
                <w:sz w:val="17"/>
              </w:rPr>
              <w:t>Where commercially possible, show a fee range or at least the factors that determine fees.</w:t>
            </w:r>
          </w:p>
        </w:tc>
      </w:tr>
      <w:tr>
        <w:trPr>
          <w:cantSplit/>
        </w:trPr>
        <w:tc>
          <w:tcPr>
            <w:tcW w:type="dxa" w:w="2484"/>
            <w:vAlign w:val="center"/>
            <w:shd w:fill="F3F3F3"/>
          </w:tcPr>
          <w:p>
            <w:pPr>
              <w:spacing w:after="0"/>
            </w:pPr>
            <w:r/>
            <w:r>
              <w:rPr>
                <w:rFonts w:ascii="Arial" w:hAnsi="Arial"/>
                <w:b w:val="0"/>
                <w:color w:val="222222"/>
                <w:sz w:val="17"/>
              </w:rPr>
              <w:t>Generic trainer language</w:t>
            </w:r>
          </w:p>
        </w:tc>
        <w:tc>
          <w:tcPr>
            <w:tcW w:type="dxa" w:w="2484"/>
            <w:vAlign w:val="center"/>
            <w:shd w:fill="F3F3F3"/>
          </w:tcPr>
          <w:p>
            <w:pPr>
              <w:spacing w:after="0"/>
            </w:pPr>
            <w:r/>
            <w:r>
              <w:rPr>
                <w:rFonts w:ascii="Arial" w:hAnsi="Arial"/>
                <w:b w:val="0"/>
                <w:color w:val="222222"/>
                <w:sz w:val="17"/>
              </w:rPr>
              <w:t>“Industry experts” is easy to understand.</w:t>
            </w:r>
          </w:p>
        </w:tc>
        <w:tc>
          <w:tcPr>
            <w:tcW w:type="dxa" w:w="2484"/>
            <w:vAlign w:val="center"/>
            <w:shd w:fill="F3F3F3"/>
          </w:tcPr>
          <w:p>
            <w:pPr>
              <w:spacing w:after="0"/>
            </w:pPr>
            <w:r/>
            <w:r>
              <w:rPr>
                <w:rFonts w:ascii="Arial" w:hAnsi="Arial"/>
                <w:b w:val="0"/>
                <w:color w:val="222222"/>
                <w:sz w:val="17"/>
              </w:rPr>
              <w:t>Generic claims are hard to verify and competitors say the same thing.</w:t>
            </w:r>
          </w:p>
        </w:tc>
        <w:tc>
          <w:tcPr>
            <w:tcW w:type="dxa" w:w="2484"/>
            <w:vAlign w:val="center"/>
            <w:shd w:fill="F3F3F3"/>
          </w:tcPr>
          <w:p>
            <w:pPr>
              <w:spacing w:after="0"/>
            </w:pPr>
            <w:r/>
            <w:r>
              <w:rPr>
                <w:rFonts w:ascii="Arial" w:hAnsi="Arial"/>
                <w:b w:val="0"/>
                <w:color w:val="222222"/>
                <w:sz w:val="17"/>
              </w:rPr>
              <w:t>Name trainers, role, years/areas of experience, technologies, and what they teach.</w:t>
            </w:r>
          </w:p>
        </w:tc>
      </w:tr>
      <w:tr>
        <w:trPr>
          <w:cantSplit/>
        </w:trPr>
        <w:tc>
          <w:tcPr>
            <w:tcW w:type="dxa" w:w="2484"/>
            <w:vAlign w:val="center"/>
          </w:tcPr>
          <w:p>
            <w:pPr>
              <w:spacing w:after="0"/>
            </w:pPr>
            <w:r/>
            <w:r>
              <w:rPr>
                <w:rFonts w:ascii="Arial" w:hAnsi="Arial"/>
                <w:b w:val="0"/>
                <w:color w:val="222222"/>
                <w:sz w:val="17"/>
              </w:rPr>
              <w:t>Long FAQs</w:t>
            </w:r>
          </w:p>
        </w:tc>
        <w:tc>
          <w:tcPr>
            <w:tcW w:type="dxa" w:w="2484"/>
            <w:vAlign w:val="center"/>
          </w:tcPr>
          <w:p>
            <w:pPr>
              <w:spacing w:after="0"/>
            </w:pPr>
            <w:r/>
            <w:r>
              <w:rPr>
                <w:rFonts w:ascii="Arial" w:hAnsi="Arial"/>
                <w:b w:val="0"/>
                <w:color w:val="222222"/>
                <w:sz w:val="17"/>
              </w:rPr>
              <w:t>Capture search intent.</w:t>
            </w:r>
          </w:p>
        </w:tc>
        <w:tc>
          <w:tcPr>
            <w:tcW w:type="dxa" w:w="2484"/>
            <w:vAlign w:val="center"/>
          </w:tcPr>
          <w:p>
            <w:pPr>
              <w:spacing w:after="0"/>
            </w:pPr>
            <w:r/>
            <w:r>
              <w:rPr>
                <w:rFonts w:ascii="Arial" w:hAnsi="Arial"/>
                <w:b w:val="0"/>
                <w:color w:val="222222"/>
                <w:sz w:val="17"/>
              </w:rPr>
              <w:t>Can become repetitive and commodity-like.</w:t>
            </w:r>
          </w:p>
        </w:tc>
        <w:tc>
          <w:tcPr>
            <w:tcW w:type="dxa" w:w="2484"/>
            <w:vAlign w:val="center"/>
          </w:tcPr>
          <w:p>
            <w:pPr>
              <w:spacing w:after="0"/>
            </w:pPr>
            <w:r/>
            <w:r>
              <w:rPr>
                <w:rFonts w:ascii="Arial" w:hAnsi="Arial"/>
                <w:b w:val="0"/>
                <w:color w:val="222222"/>
                <w:sz w:val="17"/>
              </w:rPr>
              <w:t>Use FAQs to answer genuine objections and link to deeper evidence.</w:t>
            </w:r>
          </w:p>
        </w:tc>
      </w:tr>
      <w:tr>
        <w:trPr>
          <w:cantSplit/>
        </w:trPr>
        <w:tc>
          <w:tcPr>
            <w:tcW w:type="dxa" w:w="2484"/>
            <w:vAlign w:val="center"/>
            <w:shd w:fill="F3F3F3"/>
          </w:tcPr>
          <w:p>
            <w:pPr>
              <w:spacing w:after="0"/>
            </w:pPr>
            <w:r/>
            <w:r>
              <w:rPr>
                <w:rFonts w:ascii="Arial" w:hAnsi="Arial"/>
                <w:b w:val="0"/>
                <w:color w:val="222222"/>
                <w:sz w:val="17"/>
              </w:rPr>
              <w:t>Social proof mainly as aggregate numbers</w:t>
            </w:r>
          </w:p>
        </w:tc>
        <w:tc>
          <w:tcPr>
            <w:tcW w:type="dxa" w:w="2484"/>
            <w:vAlign w:val="center"/>
            <w:shd w:fill="F3F3F3"/>
          </w:tcPr>
          <w:p>
            <w:pPr>
              <w:spacing w:after="0"/>
            </w:pPr>
            <w:r/>
            <w:r>
              <w:rPr>
                <w:rFonts w:ascii="Arial" w:hAnsi="Arial"/>
                <w:b w:val="0"/>
                <w:color w:val="222222"/>
                <w:sz w:val="17"/>
              </w:rPr>
              <w:t>Fast credibility cue.</w:t>
            </w:r>
          </w:p>
        </w:tc>
        <w:tc>
          <w:tcPr>
            <w:tcW w:type="dxa" w:w="2484"/>
            <w:vAlign w:val="center"/>
            <w:shd w:fill="F3F3F3"/>
          </w:tcPr>
          <w:p>
            <w:pPr>
              <w:spacing w:after="0"/>
            </w:pPr>
            <w:r/>
            <w:r>
              <w:rPr>
                <w:rFonts w:ascii="Arial" w:hAnsi="Arial"/>
                <w:b w:val="0"/>
                <w:color w:val="222222"/>
                <w:sz w:val="17"/>
              </w:rPr>
              <w:t>Numbers alone do not show whether the result applies to a given course, cohort or student type.</w:t>
            </w:r>
          </w:p>
        </w:tc>
        <w:tc>
          <w:tcPr>
            <w:tcW w:type="dxa" w:w="2484"/>
            <w:vAlign w:val="center"/>
            <w:shd w:fill="F3F3F3"/>
          </w:tcPr>
          <w:p>
            <w:pPr>
              <w:spacing w:after="0"/>
            </w:pPr>
            <w:r/>
            <w:r>
              <w:rPr>
                <w:rFonts w:ascii="Arial" w:hAnsi="Arial"/>
                <w:b w:val="0"/>
                <w:color w:val="222222"/>
                <w:sz w:val="17"/>
              </w:rPr>
              <w:t>Pair scale with specific dated outcomes.</w:t>
            </w:r>
          </w:p>
        </w:tc>
      </w:tr>
    </w:tbl>
    <w:p>
      <w:pPr>
        <w:spacing w:after="40"/>
      </w:pPr>
    </w:p>
    <w:p>
      <w:pPr>
        <w:pStyle w:val="Heading1"/>
      </w:pPr>
      <w:r>
        <w:t>8. Recommended copy strategy</w:t>
      </w:r>
    </w:p>
    <w:p>
      <w:r>
        <w:t>The copy should move from “we are a training institute” to “here is the career decision, here is the path, here is what you will actually do, and here is the proof.” This follows the supplied copywriting principles: clarity over cleverness, benefits over features, specificity over vagueness, active language, and evidence over hype. [C]</w:t>
      </w:r>
    </w:p>
    <w:p>
      <w:r>
        <w:rPr>
          <w:b/>
        </w:rPr>
        <w:t xml:space="preserve">Core positioning sentence: </w:t>
      </w:r>
      <w:r>
        <w:t>Career-focused IT training in Mumbai and Thane that helps learners choose a role, build practical skills, create portfolio proof, and prepare for real interviews, with placement assistance explained clearly.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333333"/>
          </w:tcPr>
          <w:p>
            <w:pPr>
              <w:spacing w:after="0"/>
            </w:pPr>
            <w:r/>
            <w:r>
              <w:rPr>
                <w:rFonts w:ascii="Arial" w:hAnsi="Arial"/>
                <w:b/>
                <w:color w:val="FFFFFF"/>
                <w:sz w:val="18"/>
              </w:rPr>
              <w:t>Copy rule</w:t>
            </w:r>
          </w:p>
        </w:tc>
        <w:tc>
          <w:tcPr>
            <w:tcW w:type="dxa" w:w="3312"/>
            <w:vAlign w:val="center"/>
            <w:shd w:fill="333333"/>
          </w:tcPr>
          <w:p>
            <w:pPr>
              <w:spacing w:after="0"/>
            </w:pPr>
            <w:r/>
            <w:r>
              <w:rPr>
                <w:rFonts w:ascii="Arial" w:hAnsi="Arial"/>
                <w:b/>
                <w:color w:val="FFFFFF"/>
                <w:sz w:val="18"/>
              </w:rPr>
              <w:t>Use</w:t>
            </w:r>
          </w:p>
        </w:tc>
        <w:tc>
          <w:tcPr>
            <w:tcW w:type="dxa" w:w="3312"/>
            <w:vAlign w:val="center"/>
            <w:shd w:fill="333333"/>
          </w:tcPr>
          <w:p>
            <w:pPr>
              <w:spacing w:after="0"/>
            </w:pPr>
            <w:r/>
            <w:r>
              <w:rPr>
                <w:rFonts w:ascii="Arial" w:hAnsi="Arial"/>
                <w:b/>
                <w:color w:val="FFFFFF"/>
                <w:sz w:val="18"/>
              </w:rPr>
              <w:t>Avoid</w:t>
            </w:r>
          </w:p>
        </w:tc>
      </w:tr>
      <w:tr>
        <w:trPr>
          <w:cantSplit/>
        </w:trPr>
        <w:tc>
          <w:tcPr>
            <w:tcW w:type="dxa" w:w="3312"/>
            <w:vAlign w:val="center"/>
            <w:shd w:fill="F3F3F3"/>
          </w:tcPr>
          <w:p>
            <w:pPr>
              <w:spacing w:after="0"/>
            </w:pPr>
            <w:r/>
            <w:r>
              <w:rPr>
                <w:rFonts w:ascii="Arial" w:hAnsi="Arial"/>
                <w:b w:val="0"/>
                <w:color w:val="222222"/>
                <w:sz w:val="17"/>
              </w:rPr>
              <w:t>Transformation first</w:t>
            </w:r>
          </w:p>
        </w:tc>
        <w:tc>
          <w:tcPr>
            <w:tcW w:type="dxa" w:w="3312"/>
            <w:vAlign w:val="center"/>
            <w:shd w:fill="F3F3F3"/>
          </w:tcPr>
          <w:p>
            <w:pPr>
              <w:spacing w:after="0"/>
            </w:pPr>
            <w:r/>
            <w:r>
              <w:rPr>
                <w:rFonts w:ascii="Arial" w:hAnsi="Arial"/>
                <w:b w:val="0"/>
                <w:color w:val="222222"/>
                <w:sz w:val="17"/>
              </w:rPr>
              <w:t>“Learn the skills, build the proof, prepare for the interview.”</w:t>
            </w:r>
          </w:p>
        </w:tc>
        <w:tc>
          <w:tcPr>
            <w:tcW w:type="dxa" w:w="3312"/>
            <w:vAlign w:val="center"/>
            <w:shd w:fill="F3F3F3"/>
          </w:tcPr>
          <w:p>
            <w:pPr>
              <w:spacing w:after="0"/>
            </w:pPr>
            <w:r/>
            <w:r>
              <w:rPr>
                <w:rFonts w:ascii="Arial" w:hAnsi="Arial"/>
                <w:b w:val="0"/>
                <w:color w:val="222222"/>
                <w:sz w:val="17"/>
              </w:rPr>
              <w:t>“We provide world-class education.”</w:t>
            </w:r>
          </w:p>
        </w:tc>
      </w:tr>
      <w:tr>
        <w:trPr>
          <w:cantSplit/>
        </w:trPr>
        <w:tc>
          <w:tcPr>
            <w:tcW w:type="dxa" w:w="3312"/>
            <w:vAlign w:val="center"/>
          </w:tcPr>
          <w:p>
            <w:pPr>
              <w:spacing w:after="0"/>
            </w:pPr>
            <w:r/>
            <w:r>
              <w:rPr>
                <w:rFonts w:ascii="Arial" w:hAnsi="Arial"/>
                <w:b w:val="0"/>
                <w:color w:val="222222"/>
                <w:sz w:val="17"/>
              </w:rPr>
              <w:t>Specificity</w:t>
            </w:r>
          </w:p>
        </w:tc>
        <w:tc>
          <w:tcPr>
            <w:tcW w:type="dxa" w:w="3312"/>
            <w:vAlign w:val="center"/>
          </w:tcPr>
          <w:p>
            <w:pPr>
              <w:spacing w:after="0"/>
            </w:pPr>
            <w:r/>
            <w:r>
              <w:rPr>
                <w:rFonts w:ascii="Arial" w:hAnsi="Arial"/>
                <w:b w:val="0"/>
                <w:color w:val="222222"/>
                <w:sz w:val="17"/>
              </w:rPr>
              <w:t>“6–8 months | weekday/weekend | Python, SQL, Power BI | projects | mock interviews” when current.</w:t>
            </w:r>
          </w:p>
        </w:tc>
        <w:tc>
          <w:tcPr>
            <w:tcW w:type="dxa" w:w="3312"/>
            <w:vAlign w:val="center"/>
          </w:tcPr>
          <w:p>
            <w:pPr>
              <w:spacing w:after="0"/>
            </w:pPr>
            <w:r/>
            <w:r>
              <w:rPr>
                <w:rFonts w:ascii="Arial" w:hAnsi="Arial"/>
                <w:b w:val="0"/>
                <w:color w:val="222222"/>
                <w:sz w:val="17"/>
              </w:rPr>
              <w:t>“Comprehensive training.”</w:t>
            </w:r>
          </w:p>
        </w:tc>
      </w:tr>
      <w:tr>
        <w:trPr>
          <w:cantSplit/>
        </w:trPr>
        <w:tc>
          <w:tcPr>
            <w:tcW w:type="dxa" w:w="3312"/>
            <w:vAlign w:val="center"/>
            <w:shd w:fill="F3F3F3"/>
          </w:tcPr>
          <w:p>
            <w:pPr>
              <w:spacing w:after="0"/>
            </w:pPr>
            <w:r/>
            <w:r>
              <w:rPr>
                <w:rFonts w:ascii="Arial" w:hAnsi="Arial"/>
                <w:b w:val="0"/>
                <w:color w:val="222222"/>
                <w:sz w:val="17"/>
              </w:rPr>
              <w:t>Evidence close to claim</w:t>
            </w:r>
          </w:p>
        </w:tc>
        <w:tc>
          <w:tcPr>
            <w:tcW w:type="dxa" w:w="3312"/>
            <w:vAlign w:val="center"/>
            <w:shd w:fill="F3F3F3"/>
          </w:tcPr>
          <w:p>
            <w:pPr>
              <w:spacing w:after="0"/>
            </w:pPr>
            <w:r/>
            <w:r>
              <w:rPr>
                <w:rFonts w:ascii="Arial" w:hAnsi="Arial"/>
                <w:b w:val="0"/>
                <w:color w:val="222222"/>
                <w:sz w:val="17"/>
              </w:rPr>
              <w:t>Put student story or cohort data beside the placement statement.</w:t>
            </w:r>
          </w:p>
        </w:tc>
        <w:tc>
          <w:tcPr>
            <w:tcW w:type="dxa" w:w="3312"/>
            <w:vAlign w:val="center"/>
            <w:shd w:fill="F3F3F3"/>
          </w:tcPr>
          <w:p>
            <w:pPr>
              <w:spacing w:after="0"/>
            </w:pPr>
            <w:r/>
            <w:r>
              <w:rPr>
                <w:rFonts w:ascii="Arial" w:hAnsi="Arial"/>
                <w:b w:val="0"/>
                <w:color w:val="222222"/>
                <w:sz w:val="17"/>
              </w:rPr>
              <w:t>Put every proof point on a distant testimonial page.</w:t>
            </w:r>
          </w:p>
        </w:tc>
      </w:tr>
      <w:tr>
        <w:trPr>
          <w:cantSplit/>
        </w:trPr>
        <w:tc>
          <w:tcPr>
            <w:tcW w:type="dxa" w:w="3312"/>
            <w:vAlign w:val="center"/>
          </w:tcPr>
          <w:p>
            <w:pPr>
              <w:spacing w:after="0"/>
            </w:pPr>
            <w:r/>
            <w:r>
              <w:rPr>
                <w:rFonts w:ascii="Arial" w:hAnsi="Arial"/>
                <w:b w:val="0"/>
                <w:color w:val="222222"/>
                <w:sz w:val="17"/>
              </w:rPr>
              <w:t>Decision support</w:t>
            </w:r>
          </w:p>
        </w:tc>
        <w:tc>
          <w:tcPr>
            <w:tcW w:type="dxa" w:w="3312"/>
            <w:vAlign w:val="center"/>
          </w:tcPr>
          <w:p>
            <w:pPr>
              <w:spacing w:after="0"/>
            </w:pPr>
            <w:r/>
            <w:r>
              <w:rPr>
                <w:rFonts w:ascii="Arial" w:hAnsi="Arial"/>
                <w:b w:val="0"/>
                <w:color w:val="222222"/>
                <w:sz w:val="17"/>
              </w:rPr>
              <w:t>Answer fee, duration, eligibility, batch, tools and projects.</w:t>
            </w:r>
          </w:p>
        </w:tc>
        <w:tc>
          <w:tcPr>
            <w:tcW w:type="dxa" w:w="3312"/>
            <w:vAlign w:val="center"/>
          </w:tcPr>
          <w:p>
            <w:pPr>
              <w:spacing w:after="0"/>
            </w:pPr>
            <w:r/>
            <w:r>
              <w:rPr>
                <w:rFonts w:ascii="Arial" w:hAnsi="Arial"/>
                <w:b w:val="0"/>
                <w:color w:val="222222"/>
                <w:sz w:val="17"/>
              </w:rPr>
              <w:t>Force users to submit a form for basic facts that competitors show publicly.</w:t>
            </w:r>
          </w:p>
        </w:tc>
      </w:tr>
      <w:tr>
        <w:trPr>
          <w:cantSplit/>
        </w:trPr>
        <w:tc>
          <w:tcPr>
            <w:tcW w:type="dxa" w:w="3312"/>
            <w:vAlign w:val="center"/>
            <w:shd w:fill="F3F3F3"/>
          </w:tcPr>
          <w:p>
            <w:pPr>
              <w:spacing w:after="0"/>
            </w:pPr>
            <w:r/>
            <w:r>
              <w:rPr>
                <w:rFonts w:ascii="Arial" w:hAnsi="Arial"/>
                <w:b w:val="0"/>
                <w:color w:val="222222"/>
                <w:sz w:val="17"/>
              </w:rPr>
              <w:t>Precision</w:t>
            </w:r>
          </w:p>
        </w:tc>
        <w:tc>
          <w:tcPr>
            <w:tcW w:type="dxa" w:w="3312"/>
            <w:vAlign w:val="center"/>
            <w:shd w:fill="F3F3F3"/>
          </w:tcPr>
          <w:p>
            <w:pPr>
              <w:spacing w:after="0"/>
            </w:pPr>
            <w:r/>
            <w:r>
              <w:rPr>
                <w:rFonts w:ascii="Arial" w:hAnsi="Arial"/>
                <w:b w:val="0"/>
                <w:color w:val="222222"/>
                <w:sz w:val="17"/>
              </w:rPr>
              <w:t>“Placement assistance includes resume support, mock interviews and access to drives.”</w:t>
            </w:r>
          </w:p>
        </w:tc>
        <w:tc>
          <w:tcPr>
            <w:tcW w:type="dxa" w:w="3312"/>
            <w:vAlign w:val="center"/>
            <w:shd w:fill="F3F3F3"/>
          </w:tcPr>
          <w:p>
            <w:pPr>
              <w:spacing w:after="0"/>
            </w:pPr>
            <w:r/>
            <w:r>
              <w:rPr>
                <w:rFonts w:ascii="Arial" w:hAnsi="Arial"/>
                <w:b w:val="0"/>
                <w:color w:val="222222"/>
                <w:sz w:val="17"/>
              </w:rPr>
              <w:t>“Guaranteed job.” unless legally and operationally substantiated.</w:t>
            </w:r>
          </w:p>
        </w:tc>
      </w:tr>
      <w:tr>
        <w:trPr>
          <w:cantSplit/>
        </w:trPr>
        <w:tc>
          <w:tcPr>
            <w:tcW w:type="dxa" w:w="3312"/>
            <w:vAlign w:val="center"/>
          </w:tcPr>
          <w:p>
            <w:pPr>
              <w:spacing w:after="0"/>
            </w:pPr>
            <w:r/>
            <w:r>
              <w:rPr>
                <w:rFonts w:ascii="Arial" w:hAnsi="Arial"/>
                <w:b w:val="0"/>
                <w:color w:val="222222"/>
                <w:sz w:val="17"/>
              </w:rPr>
              <w:t>Human voice</w:t>
            </w:r>
          </w:p>
        </w:tc>
        <w:tc>
          <w:tcPr>
            <w:tcW w:type="dxa" w:w="3312"/>
            <w:vAlign w:val="center"/>
          </w:tcPr>
          <w:p>
            <w:pPr>
              <w:spacing w:after="0"/>
            </w:pPr>
            <w:r/>
            <w:r>
              <w:rPr>
                <w:rFonts w:ascii="Arial" w:hAnsi="Arial"/>
                <w:b w:val="0"/>
                <w:color w:val="222222"/>
                <w:sz w:val="17"/>
              </w:rPr>
              <w:t>Use trainer explanations, student stories and practical examples.</w:t>
            </w:r>
          </w:p>
        </w:tc>
        <w:tc>
          <w:tcPr>
            <w:tcW w:type="dxa" w:w="3312"/>
            <w:vAlign w:val="center"/>
          </w:tcPr>
          <w:p>
            <w:pPr>
              <w:spacing w:after="0"/>
            </w:pPr>
            <w:r/>
            <w:r>
              <w:rPr>
                <w:rFonts w:ascii="Arial" w:hAnsi="Arial"/>
                <w:b w:val="0"/>
                <w:color w:val="222222"/>
                <w:sz w:val="17"/>
              </w:rPr>
              <w:t>Fill pages with generic AI-written career advice.</w:t>
            </w:r>
          </w:p>
        </w:tc>
      </w:tr>
    </w:tbl>
    <w:p>
      <w:pPr>
        <w:spacing w:after="40"/>
      </w:pPr>
    </w:p>
    <w:p>
      <w:pPr>
        <w:pStyle w:val="Heading1"/>
      </w:pPr>
      <w:r>
        <w:t>9. Recommended homepage copy</w:t>
      </w:r>
    </w:p>
    <w:p>
      <w:r>
        <w:t>The following is a strategic draft, not a claim that every proof point is already verified. Insert only current, auditable numbers and partner statements.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333333"/>
          </w:tcPr>
          <w:p>
            <w:pPr>
              <w:spacing w:after="0"/>
            </w:pPr>
            <w:r/>
            <w:r>
              <w:rPr>
                <w:rFonts w:ascii="Arial" w:hAnsi="Arial"/>
                <w:b/>
                <w:color w:val="FFFFFF"/>
                <w:sz w:val="18"/>
              </w:rPr>
              <w:t>Element</w:t>
            </w:r>
          </w:p>
        </w:tc>
        <w:tc>
          <w:tcPr>
            <w:tcW w:type="dxa" w:w="4968"/>
            <w:vAlign w:val="center"/>
            <w:shd w:fill="333333"/>
          </w:tcPr>
          <w:p>
            <w:pPr>
              <w:spacing w:after="0"/>
            </w:pPr>
            <w:r/>
            <w:r>
              <w:rPr>
                <w:rFonts w:ascii="Arial" w:hAnsi="Arial"/>
                <w:b/>
                <w:color w:val="FFFFFF"/>
                <w:sz w:val="18"/>
              </w:rPr>
              <w:t>Recommended copy</w:t>
            </w:r>
          </w:p>
        </w:tc>
      </w:tr>
      <w:tr>
        <w:trPr>
          <w:cantSplit/>
        </w:trPr>
        <w:tc>
          <w:tcPr>
            <w:tcW w:type="dxa" w:w="4968"/>
            <w:vAlign w:val="center"/>
            <w:shd w:fill="F3F3F3"/>
          </w:tcPr>
          <w:p>
            <w:pPr>
              <w:spacing w:after="0"/>
            </w:pPr>
            <w:r/>
            <w:r>
              <w:rPr>
                <w:rFonts w:ascii="Arial" w:hAnsi="Arial"/>
                <w:b w:val="0"/>
                <w:color w:val="222222"/>
                <w:sz w:val="17"/>
              </w:rPr>
              <w:t>Hero headline</w:t>
            </w:r>
          </w:p>
        </w:tc>
        <w:tc>
          <w:tcPr>
            <w:tcW w:type="dxa" w:w="4968"/>
            <w:vAlign w:val="center"/>
            <w:shd w:fill="F3F3F3"/>
          </w:tcPr>
          <w:p>
            <w:pPr>
              <w:spacing w:after="0"/>
            </w:pPr>
            <w:r/>
            <w:r>
              <w:rPr>
                <w:rFonts w:ascii="Arial" w:hAnsi="Arial"/>
                <w:b w:val="0"/>
                <w:color w:val="222222"/>
                <w:sz w:val="17"/>
              </w:rPr>
              <w:t>Build job-ready tech skills. Prove them with real projects.</w:t>
            </w:r>
          </w:p>
        </w:tc>
      </w:tr>
      <w:tr>
        <w:trPr>
          <w:cantSplit/>
        </w:trPr>
        <w:tc>
          <w:tcPr>
            <w:tcW w:type="dxa" w:w="4968"/>
            <w:vAlign w:val="center"/>
          </w:tcPr>
          <w:p>
            <w:pPr>
              <w:spacing w:after="0"/>
            </w:pPr>
            <w:r/>
            <w:r>
              <w:rPr>
                <w:rFonts w:ascii="Arial" w:hAnsi="Arial"/>
                <w:b w:val="0"/>
                <w:color w:val="222222"/>
                <w:sz w:val="17"/>
              </w:rPr>
              <w:t>Hero subheadline</w:t>
            </w:r>
          </w:p>
        </w:tc>
        <w:tc>
          <w:tcPr>
            <w:tcW w:type="dxa" w:w="4968"/>
            <w:vAlign w:val="center"/>
          </w:tcPr>
          <w:p>
            <w:pPr>
              <w:spacing w:after="0"/>
            </w:pPr>
            <w:r/>
            <w:r>
              <w:rPr>
                <w:rFonts w:ascii="Arial" w:hAnsi="Arial"/>
                <w:b w:val="0"/>
                <w:color w:val="222222"/>
                <w:sz w:val="17"/>
              </w:rPr>
              <w:t>Career-focused IT and non-IT training across Thane, Mumbai and Navi Mumbai, with practical learning, hands-on projects, interview preparation and placement assistance.</w:t>
            </w:r>
          </w:p>
        </w:tc>
      </w:tr>
      <w:tr>
        <w:trPr>
          <w:cantSplit/>
        </w:trPr>
        <w:tc>
          <w:tcPr>
            <w:tcW w:type="dxa" w:w="4968"/>
            <w:vAlign w:val="center"/>
            <w:shd w:fill="F3F3F3"/>
          </w:tcPr>
          <w:p>
            <w:pPr>
              <w:spacing w:after="0"/>
            </w:pPr>
            <w:r/>
            <w:r>
              <w:rPr>
                <w:rFonts w:ascii="Arial" w:hAnsi="Arial"/>
                <w:b w:val="0"/>
                <w:color w:val="222222"/>
                <w:sz w:val="17"/>
              </w:rPr>
              <w:t>Primary CTA</w:t>
            </w:r>
          </w:p>
        </w:tc>
        <w:tc>
          <w:tcPr>
            <w:tcW w:type="dxa" w:w="4968"/>
            <w:vAlign w:val="center"/>
            <w:shd w:fill="F3F3F3"/>
          </w:tcPr>
          <w:p>
            <w:pPr>
              <w:spacing w:after="0"/>
            </w:pPr>
            <w:r/>
            <w:r>
              <w:rPr>
                <w:rFonts w:ascii="Arial" w:hAnsi="Arial"/>
                <w:b w:val="0"/>
                <w:color w:val="222222"/>
                <w:sz w:val="17"/>
              </w:rPr>
              <w:t>Book a Free Demo</w:t>
            </w:r>
          </w:p>
        </w:tc>
      </w:tr>
      <w:tr>
        <w:trPr>
          <w:cantSplit/>
        </w:trPr>
        <w:tc>
          <w:tcPr>
            <w:tcW w:type="dxa" w:w="4968"/>
            <w:vAlign w:val="center"/>
          </w:tcPr>
          <w:p>
            <w:pPr>
              <w:spacing w:after="0"/>
            </w:pPr>
            <w:r/>
            <w:r>
              <w:rPr>
                <w:rFonts w:ascii="Arial" w:hAnsi="Arial"/>
                <w:b w:val="0"/>
                <w:color w:val="222222"/>
                <w:sz w:val="17"/>
              </w:rPr>
              <w:t>Secondary CTA</w:t>
            </w:r>
          </w:p>
        </w:tc>
        <w:tc>
          <w:tcPr>
            <w:tcW w:type="dxa" w:w="4968"/>
            <w:vAlign w:val="center"/>
          </w:tcPr>
          <w:p>
            <w:pPr>
              <w:spacing w:after="0"/>
            </w:pPr>
            <w:r/>
            <w:r>
              <w:rPr>
                <w:rFonts w:ascii="Arial" w:hAnsi="Arial"/>
                <w:b w:val="0"/>
                <w:color w:val="222222"/>
                <w:sz w:val="17"/>
              </w:rPr>
              <w:t>Explore Career Paths</w:t>
            </w:r>
          </w:p>
        </w:tc>
      </w:tr>
      <w:tr>
        <w:trPr>
          <w:cantSplit/>
        </w:trPr>
        <w:tc>
          <w:tcPr>
            <w:tcW w:type="dxa" w:w="4968"/>
            <w:vAlign w:val="center"/>
            <w:shd w:fill="F3F3F3"/>
          </w:tcPr>
          <w:p>
            <w:pPr>
              <w:spacing w:after="0"/>
            </w:pPr>
            <w:r/>
            <w:r>
              <w:rPr>
                <w:rFonts w:ascii="Arial" w:hAnsi="Arial"/>
                <w:b w:val="0"/>
                <w:color w:val="222222"/>
                <w:sz w:val="17"/>
              </w:rPr>
              <w:t>Proof strip</w:t>
            </w:r>
          </w:p>
        </w:tc>
        <w:tc>
          <w:tcPr>
            <w:tcW w:type="dxa" w:w="4968"/>
            <w:vAlign w:val="center"/>
            <w:shd w:fill="F3F3F3"/>
          </w:tcPr>
          <w:p>
            <w:pPr>
              <w:spacing w:after="0"/>
            </w:pPr>
            <w:r/>
            <w:r>
              <w:rPr>
                <w:rFonts w:ascii="Arial" w:hAnsi="Arial"/>
                <w:b w:val="0"/>
                <w:color w:val="222222"/>
                <w:sz w:val="17"/>
              </w:rPr>
              <w:t>7 centres | 200+ technologies | 80K+ students trained* | 4,000+ hiring partners*</w:t>
            </w:r>
          </w:p>
        </w:tc>
      </w:tr>
      <w:tr>
        <w:trPr>
          <w:cantSplit/>
        </w:trPr>
        <w:tc>
          <w:tcPr>
            <w:tcW w:type="dxa" w:w="4968"/>
            <w:vAlign w:val="center"/>
          </w:tcPr>
          <w:p>
            <w:pPr>
              <w:spacing w:after="0"/>
            </w:pPr>
            <w:r/>
            <w:r>
              <w:rPr>
                <w:rFonts w:ascii="Arial" w:hAnsi="Arial"/>
                <w:b w:val="0"/>
                <w:color w:val="222222"/>
                <w:sz w:val="17"/>
              </w:rPr>
              <w:t>Trust note</w:t>
            </w:r>
          </w:p>
        </w:tc>
        <w:tc>
          <w:tcPr>
            <w:tcW w:type="dxa" w:w="4968"/>
            <w:vAlign w:val="center"/>
          </w:tcPr>
          <w:p>
            <w:pPr>
              <w:spacing w:after="0"/>
            </w:pPr>
            <w:r/>
            <w:r>
              <w:rPr>
                <w:rFonts w:ascii="Arial" w:hAnsi="Arial"/>
                <w:b w:val="0"/>
                <w:color w:val="222222"/>
                <w:sz w:val="17"/>
              </w:rPr>
              <w:t>*Use only after definitions and source-of-truth numbers are standardized.</w:t>
            </w:r>
          </w:p>
        </w:tc>
      </w:tr>
      <w:tr>
        <w:trPr>
          <w:cantSplit/>
        </w:trPr>
        <w:tc>
          <w:tcPr>
            <w:tcW w:type="dxa" w:w="4968"/>
            <w:vAlign w:val="center"/>
            <w:shd w:fill="F3F3F3"/>
          </w:tcPr>
          <w:p>
            <w:pPr>
              <w:spacing w:after="0"/>
            </w:pPr>
            <w:r/>
            <w:r>
              <w:rPr>
                <w:rFonts w:ascii="Arial" w:hAnsi="Arial"/>
                <w:b w:val="0"/>
                <w:color w:val="222222"/>
                <w:sz w:val="17"/>
              </w:rPr>
              <w:t>Problem section header</w:t>
            </w:r>
          </w:p>
        </w:tc>
        <w:tc>
          <w:tcPr>
            <w:tcW w:type="dxa" w:w="4968"/>
            <w:vAlign w:val="center"/>
            <w:shd w:fill="F3F3F3"/>
          </w:tcPr>
          <w:p>
            <w:pPr>
              <w:spacing w:after="0"/>
            </w:pPr>
            <w:r/>
            <w:r>
              <w:rPr>
                <w:rFonts w:ascii="Arial" w:hAnsi="Arial"/>
                <w:b w:val="0"/>
                <w:color w:val="222222"/>
                <w:sz w:val="17"/>
              </w:rPr>
              <w:t>Not sure what to learn next? Start with the role, not the course name.</w:t>
            </w:r>
          </w:p>
        </w:tc>
      </w:tr>
      <w:tr>
        <w:trPr>
          <w:cantSplit/>
        </w:trPr>
        <w:tc>
          <w:tcPr>
            <w:tcW w:type="dxa" w:w="4968"/>
            <w:vAlign w:val="center"/>
          </w:tcPr>
          <w:p>
            <w:pPr>
              <w:spacing w:after="0"/>
            </w:pPr>
            <w:r/>
            <w:r>
              <w:rPr>
                <w:rFonts w:ascii="Arial" w:hAnsi="Arial"/>
                <w:b w:val="0"/>
                <w:color w:val="222222"/>
                <w:sz w:val="17"/>
              </w:rPr>
              <w:t>Problem body</w:t>
            </w:r>
          </w:p>
        </w:tc>
        <w:tc>
          <w:tcPr>
            <w:tcW w:type="dxa" w:w="4968"/>
            <w:vAlign w:val="center"/>
          </w:tcPr>
          <w:p>
            <w:pPr>
              <w:spacing w:after="0"/>
            </w:pPr>
            <w:r/>
            <w:r>
              <w:rPr>
                <w:rFonts w:ascii="Arial" w:hAnsi="Arial"/>
                <w:b w:val="0"/>
                <w:color w:val="222222"/>
                <w:sz w:val="17"/>
              </w:rPr>
              <w:t>Data Analytics, Data Science, Cyber Security, Cloud, Full Stack, Networking and more can all lead to different jobs. We help you understand the skills each path requires, then choose a learning route that fits your starting point.</w:t>
            </w:r>
          </w:p>
        </w:tc>
      </w:tr>
      <w:tr>
        <w:trPr>
          <w:cantSplit/>
        </w:trPr>
        <w:tc>
          <w:tcPr>
            <w:tcW w:type="dxa" w:w="4968"/>
            <w:vAlign w:val="center"/>
            <w:shd w:fill="F3F3F3"/>
          </w:tcPr>
          <w:p>
            <w:pPr>
              <w:spacing w:after="0"/>
            </w:pPr>
            <w:r/>
            <w:r>
              <w:rPr>
                <w:rFonts w:ascii="Arial" w:hAnsi="Arial"/>
                <w:b w:val="0"/>
                <w:color w:val="222222"/>
                <w:sz w:val="17"/>
              </w:rPr>
              <w:t>How it works</w:t>
            </w:r>
          </w:p>
        </w:tc>
        <w:tc>
          <w:tcPr>
            <w:tcW w:type="dxa" w:w="4968"/>
            <w:vAlign w:val="center"/>
            <w:shd w:fill="F3F3F3"/>
          </w:tcPr>
          <w:p>
            <w:pPr>
              <w:spacing w:after="0"/>
            </w:pPr>
            <w:r/>
            <w:r>
              <w:rPr>
                <w:rFonts w:ascii="Arial" w:hAnsi="Arial"/>
                <w:b w:val="0"/>
                <w:color w:val="222222"/>
                <w:sz w:val="17"/>
              </w:rPr>
              <w:t>Choose your path. Learn it hands-on. Build portfolio proof. Prepare for interviews.</w:t>
            </w:r>
          </w:p>
        </w:tc>
      </w:tr>
      <w:tr>
        <w:trPr>
          <w:cantSplit/>
        </w:trPr>
        <w:tc>
          <w:tcPr>
            <w:tcW w:type="dxa" w:w="4968"/>
            <w:vAlign w:val="center"/>
          </w:tcPr>
          <w:p>
            <w:pPr>
              <w:spacing w:after="0"/>
            </w:pPr>
            <w:r/>
            <w:r>
              <w:rPr>
                <w:rFonts w:ascii="Arial" w:hAnsi="Arial"/>
                <w:b w:val="0"/>
                <w:color w:val="222222"/>
                <w:sz w:val="17"/>
              </w:rPr>
              <w:t>Placement section header</w:t>
            </w:r>
          </w:p>
        </w:tc>
        <w:tc>
          <w:tcPr>
            <w:tcW w:type="dxa" w:w="4968"/>
            <w:vAlign w:val="center"/>
          </w:tcPr>
          <w:p>
            <w:pPr>
              <w:spacing w:after="0"/>
            </w:pPr>
            <w:r/>
            <w:r>
              <w:rPr>
                <w:rFonts w:ascii="Arial" w:hAnsi="Arial"/>
                <w:b w:val="0"/>
                <w:color w:val="222222"/>
                <w:sz w:val="17"/>
              </w:rPr>
              <w:t>Placement assistance, explained clearly.</w:t>
            </w:r>
          </w:p>
        </w:tc>
      </w:tr>
      <w:tr>
        <w:trPr>
          <w:cantSplit/>
        </w:trPr>
        <w:tc>
          <w:tcPr>
            <w:tcW w:type="dxa" w:w="4968"/>
            <w:vAlign w:val="center"/>
            <w:shd w:fill="F3F3F3"/>
          </w:tcPr>
          <w:p>
            <w:pPr>
              <w:spacing w:after="0"/>
            </w:pPr>
            <w:r/>
            <w:r>
              <w:rPr>
                <w:rFonts w:ascii="Arial" w:hAnsi="Arial"/>
                <w:b w:val="0"/>
                <w:color w:val="222222"/>
                <w:sz w:val="17"/>
              </w:rPr>
              <w:t>Placement body</w:t>
            </w:r>
          </w:p>
        </w:tc>
        <w:tc>
          <w:tcPr>
            <w:tcW w:type="dxa" w:w="4968"/>
            <w:vAlign w:val="center"/>
            <w:shd w:fill="F3F3F3"/>
          </w:tcPr>
          <w:p>
            <w:pPr>
              <w:spacing w:after="0"/>
            </w:pPr>
            <w:r/>
            <w:r>
              <w:rPr>
                <w:rFonts w:ascii="Arial" w:hAnsi="Arial"/>
                <w:b w:val="0"/>
                <w:color w:val="222222"/>
                <w:sz w:val="17"/>
              </w:rPr>
              <w:t>Your course is only one part of the job journey. Our support can include resume preparation, technical and HR mock interviews, job-readiness sessions and access to placement opportunities. Actual hiring depends on eligibility, performance, openings and employer selection.</w:t>
            </w:r>
          </w:p>
        </w:tc>
      </w:tr>
      <w:tr>
        <w:trPr>
          <w:cantSplit/>
        </w:trPr>
        <w:tc>
          <w:tcPr>
            <w:tcW w:type="dxa" w:w="4968"/>
            <w:vAlign w:val="center"/>
          </w:tcPr>
          <w:p>
            <w:pPr>
              <w:spacing w:after="0"/>
            </w:pPr>
            <w:r/>
            <w:r>
              <w:rPr>
                <w:rFonts w:ascii="Arial" w:hAnsi="Arial"/>
                <w:b w:val="0"/>
                <w:color w:val="222222"/>
                <w:sz w:val="17"/>
              </w:rPr>
              <w:t>Final CTA</w:t>
            </w:r>
          </w:p>
        </w:tc>
        <w:tc>
          <w:tcPr>
            <w:tcW w:type="dxa" w:w="4968"/>
            <w:vAlign w:val="center"/>
          </w:tcPr>
          <w:p>
            <w:pPr>
              <w:spacing w:after="0"/>
            </w:pPr>
            <w:r/>
            <w:r>
              <w:rPr>
                <w:rFonts w:ascii="Arial" w:hAnsi="Arial"/>
                <w:b w:val="0"/>
                <w:color w:val="222222"/>
                <w:sz w:val="17"/>
              </w:rPr>
              <w:t>See the next batch, syllabus and course details</w:t>
            </w:r>
          </w:p>
        </w:tc>
      </w:tr>
    </w:tbl>
    <w:p>
      <w:pPr>
        <w:spacing w:after="40"/>
      </w:pPr>
    </w:p>
    <w:p>
      <w:pPr>
        <w:pStyle w:val="Heading1"/>
      </w:pPr>
      <w:r>
        <w:t>10. Recommended Data Analytics course-page copy</w:t>
      </w:r>
    </w:p>
    <w:p>
      <w:r>
        <w:t>This draft is based on the current NetTech Data Analytics page, which states a 6–8 month certification and names Python and SQL among the learning areas. The page should expose the rest of the decision facts in the same visible layer. [12]</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333333"/>
          </w:tcPr>
          <w:p>
            <w:pPr>
              <w:spacing w:after="0"/>
            </w:pPr>
            <w:r/>
            <w:r>
              <w:rPr>
                <w:rFonts w:ascii="Arial" w:hAnsi="Arial"/>
                <w:b/>
                <w:color w:val="FFFFFF"/>
                <w:sz w:val="18"/>
              </w:rPr>
              <w:t>Section</w:t>
            </w:r>
          </w:p>
        </w:tc>
        <w:tc>
          <w:tcPr>
            <w:tcW w:type="dxa" w:w="4968"/>
            <w:vAlign w:val="center"/>
            <w:shd w:fill="333333"/>
          </w:tcPr>
          <w:p>
            <w:pPr>
              <w:spacing w:after="0"/>
            </w:pPr>
            <w:r/>
            <w:r>
              <w:rPr>
                <w:rFonts w:ascii="Arial" w:hAnsi="Arial"/>
                <w:b/>
                <w:color w:val="FFFFFF"/>
                <w:sz w:val="18"/>
              </w:rPr>
              <w:t>Copy direction</w:t>
            </w:r>
          </w:p>
        </w:tc>
      </w:tr>
      <w:tr>
        <w:trPr>
          <w:cantSplit/>
        </w:trPr>
        <w:tc>
          <w:tcPr>
            <w:tcW w:type="dxa" w:w="4968"/>
            <w:vAlign w:val="center"/>
            <w:shd w:fill="F3F3F3"/>
          </w:tcPr>
          <w:p>
            <w:pPr>
              <w:spacing w:after="0"/>
            </w:pPr>
            <w:r/>
            <w:r>
              <w:rPr>
                <w:rFonts w:ascii="Arial" w:hAnsi="Arial"/>
                <w:b w:val="0"/>
                <w:color w:val="222222"/>
                <w:sz w:val="17"/>
              </w:rPr>
              <w:t>H1</w:t>
            </w:r>
          </w:p>
        </w:tc>
        <w:tc>
          <w:tcPr>
            <w:tcW w:type="dxa" w:w="4968"/>
            <w:vAlign w:val="center"/>
            <w:shd w:fill="F3F3F3"/>
          </w:tcPr>
          <w:p>
            <w:pPr>
              <w:spacing w:after="0"/>
            </w:pPr>
            <w:r/>
            <w:r>
              <w:rPr>
                <w:rFonts w:ascii="Arial" w:hAnsi="Arial"/>
                <w:b w:val="0"/>
                <w:color w:val="222222"/>
                <w:sz w:val="17"/>
              </w:rPr>
              <w:t>Data Analytics Course with AI in Thane, Mumbai &amp; Navi Mumbai</w:t>
            </w:r>
          </w:p>
        </w:tc>
      </w:tr>
      <w:tr>
        <w:trPr>
          <w:cantSplit/>
        </w:trPr>
        <w:tc>
          <w:tcPr>
            <w:tcW w:type="dxa" w:w="4968"/>
            <w:vAlign w:val="center"/>
          </w:tcPr>
          <w:p>
            <w:pPr>
              <w:spacing w:after="0"/>
            </w:pPr>
            <w:r/>
            <w:r>
              <w:rPr>
                <w:rFonts w:ascii="Arial" w:hAnsi="Arial"/>
                <w:b w:val="0"/>
                <w:color w:val="222222"/>
                <w:sz w:val="17"/>
              </w:rPr>
              <w:t>Subhead</w:t>
            </w:r>
          </w:p>
        </w:tc>
        <w:tc>
          <w:tcPr>
            <w:tcW w:type="dxa" w:w="4968"/>
            <w:vAlign w:val="center"/>
          </w:tcPr>
          <w:p>
            <w:pPr>
              <w:spacing w:after="0"/>
            </w:pPr>
            <w:r/>
            <w:r>
              <w:rPr>
                <w:rFonts w:ascii="Arial" w:hAnsi="Arial"/>
                <w:b w:val="0"/>
                <w:color w:val="222222"/>
                <w:sz w:val="17"/>
              </w:rPr>
              <w:t>Learn Python, SQL, Excel and Power BI through practical projects, data-driven case work and interview preparation.</w:t>
            </w:r>
          </w:p>
        </w:tc>
      </w:tr>
      <w:tr>
        <w:trPr>
          <w:cantSplit/>
        </w:trPr>
        <w:tc>
          <w:tcPr>
            <w:tcW w:type="dxa" w:w="4968"/>
            <w:vAlign w:val="center"/>
            <w:shd w:fill="F3F3F3"/>
          </w:tcPr>
          <w:p>
            <w:pPr>
              <w:spacing w:after="0"/>
            </w:pPr>
            <w:r/>
            <w:r>
              <w:rPr>
                <w:rFonts w:ascii="Arial" w:hAnsi="Arial"/>
                <w:b w:val="0"/>
                <w:color w:val="222222"/>
                <w:sz w:val="17"/>
              </w:rPr>
              <w:t>Above-the-fold proof</w:t>
            </w:r>
          </w:p>
        </w:tc>
        <w:tc>
          <w:tcPr>
            <w:tcW w:type="dxa" w:w="4968"/>
            <w:vAlign w:val="center"/>
            <w:shd w:fill="F3F3F3"/>
          </w:tcPr>
          <w:p>
            <w:pPr>
              <w:spacing w:after="0"/>
            </w:pPr>
            <w:r/>
            <w:r>
              <w:rPr>
                <w:rFonts w:ascii="Arial" w:hAnsi="Arial"/>
                <w:b w:val="0"/>
                <w:color w:val="222222"/>
                <w:sz w:val="17"/>
              </w:rPr>
              <w:t>6–8 months | Weekday &amp; weekend options | Practical projects | Mock interviews | Placement assistance</w:t>
            </w:r>
          </w:p>
        </w:tc>
      </w:tr>
      <w:tr>
        <w:trPr>
          <w:cantSplit/>
        </w:trPr>
        <w:tc>
          <w:tcPr>
            <w:tcW w:type="dxa" w:w="4968"/>
            <w:vAlign w:val="center"/>
          </w:tcPr>
          <w:p>
            <w:pPr>
              <w:spacing w:after="0"/>
            </w:pPr>
            <w:r/>
            <w:r>
              <w:rPr>
                <w:rFonts w:ascii="Arial" w:hAnsi="Arial"/>
                <w:b w:val="0"/>
                <w:color w:val="222222"/>
                <w:sz w:val="17"/>
              </w:rPr>
              <w:t>Who it is for</w:t>
            </w:r>
          </w:p>
        </w:tc>
        <w:tc>
          <w:tcPr>
            <w:tcW w:type="dxa" w:w="4968"/>
            <w:vAlign w:val="center"/>
          </w:tcPr>
          <w:p>
            <w:pPr>
              <w:spacing w:after="0"/>
            </w:pPr>
            <w:r/>
            <w:r>
              <w:rPr>
                <w:rFonts w:ascii="Arial" w:hAnsi="Arial"/>
                <w:b w:val="0"/>
                <w:color w:val="222222"/>
                <w:sz w:val="17"/>
              </w:rPr>
              <w:t>Fresh graduates, students, working professionals and career switchers who want to move into data-focused roles.</w:t>
            </w:r>
          </w:p>
        </w:tc>
      </w:tr>
      <w:tr>
        <w:trPr>
          <w:cantSplit/>
        </w:trPr>
        <w:tc>
          <w:tcPr>
            <w:tcW w:type="dxa" w:w="4968"/>
            <w:vAlign w:val="center"/>
            <w:shd w:fill="F3F3F3"/>
          </w:tcPr>
          <w:p>
            <w:pPr>
              <w:spacing w:after="0"/>
            </w:pPr>
            <w:r/>
            <w:r>
              <w:rPr>
                <w:rFonts w:ascii="Arial" w:hAnsi="Arial"/>
                <w:b w:val="0"/>
                <w:color w:val="222222"/>
                <w:sz w:val="17"/>
              </w:rPr>
              <w:t>What you will build</w:t>
            </w:r>
          </w:p>
        </w:tc>
        <w:tc>
          <w:tcPr>
            <w:tcW w:type="dxa" w:w="4968"/>
            <w:vAlign w:val="center"/>
            <w:shd w:fill="F3F3F3"/>
          </w:tcPr>
          <w:p>
            <w:pPr>
              <w:spacing w:after="0"/>
            </w:pPr>
            <w:r/>
            <w:r>
              <w:rPr>
                <w:rFonts w:ascii="Arial" w:hAnsi="Arial"/>
                <w:b w:val="0"/>
                <w:color w:val="222222"/>
                <w:sz w:val="17"/>
              </w:rPr>
              <w:t>Dashboards, cleaned datasets, SQL analysis, reporting workflows and portfolio projects you can explain in an interview.</w:t>
            </w:r>
          </w:p>
        </w:tc>
      </w:tr>
      <w:tr>
        <w:trPr>
          <w:cantSplit/>
        </w:trPr>
        <w:tc>
          <w:tcPr>
            <w:tcW w:type="dxa" w:w="4968"/>
            <w:vAlign w:val="center"/>
          </w:tcPr>
          <w:p>
            <w:pPr>
              <w:spacing w:after="0"/>
            </w:pPr>
            <w:r/>
            <w:r>
              <w:rPr>
                <w:rFonts w:ascii="Arial" w:hAnsi="Arial"/>
                <w:b w:val="0"/>
                <w:color w:val="222222"/>
                <w:sz w:val="17"/>
              </w:rPr>
              <w:t>Decision section</w:t>
            </w:r>
          </w:p>
        </w:tc>
        <w:tc>
          <w:tcPr>
            <w:tcW w:type="dxa" w:w="4968"/>
            <w:vAlign w:val="center"/>
          </w:tcPr>
          <w:p>
            <w:pPr>
              <w:spacing w:after="0"/>
            </w:pPr>
            <w:r/>
            <w:r>
              <w:rPr>
                <w:rFonts w:ascii="Arial" w:hAnsi="Arial"/>
                <w:b w:val="0"/>
                <w:color w:val="222222"/>
                <w:sz w:val="17"/>
              </w:rPr>
              <w:t>Before you enrol: see the current syllabus, fee range, batch schedule, eligibility and learning format.</w:t>
            </w:r>
          </w:p>
        </w:tc>
      </w:tr>
      <w:tr>
        <w:trPr>
          <w:cantSplit/>
        </w:trPr>
        <w:tc>
          <w:tcPr>
            <w:tcW w:type="dxa" w:w="4968"/>
            <w:vAlign w:val="center"/>
            <w:shd w:fill="F3F3F3"/>
          </w:tcPr>
          <w:p>
            <w:pPr>
              <w:spacing w:after="0"/>
            </w:pPr>
            <w:r/>
            <w:r>
              <w:rPr>
                <w:rFonts w:ascii="Arial" w:hAnsi="Arial"/>
                <w:b w:val="0"/>
                <w:color w:val="222222"/>
                <w:sz w:val="17"/>
              </w:rPr>
              <w:t>Proof section</w:t>
            </w:r>
          </w:p>
        </w:tc>
        <w:tc>
          <w:tcPr>
            <w:tcW w:type="dxa" w:w="4968"/>
            <w:vAlign w:val="center"/>
            <w:shd w:fill="F3F3F3"/>
          </w:tcPr>
          <w:p>
            <w:pPr>
              <w:spacing w:after="0"/>
            </w:pPr>
            <w:r/>
            <w:r>
              <w:rPr>
                <w:rFonts w:ascii="Arial" w:hAnsi="Arial"/>
                <w:b w:val="0"/>
                <w:color w:val="222222"/>
                <w:sz w:val="17"/>
              </w:rPr>
              <w:t>See dated learner outcomes by role, course and employer where student consent allows.</w:t>
            </w:r>
          </w:p>
        </w:tc>
      </w:tr>
      <w:tr>
        <w:trPr>
          <w:cantSplit/>
        </w:trPr>
        <w:tc>
          <w:tcPr>
            <w:tcW w:type="dxa" w:w="4968"/>
            <w:vAlign w:val="center"/>
          </w:tcPr>
          <w:p>
            <w:pPr>
              <w:spacing w:after="0"/>
            </w:pPr>
            <w:r/>
            <w:r>
              <w:rPr>
                <w:rFonts w:ascii="Arial" w:hAnsi="Arial"/>
                <w:b w:val="0"/>
                <w:color w:val="222222"/>
                <w:sz w:val="17"/>
              </w:rPr>
              <w:t>CTA</w:t>
            </w:r>
          </w:p>
        </w:tc>
        <w:tc>
          <w:tcPr>
            <w:tcW w:type="dxa" w:w="4968"/>
            <w:vAlign w:val="center"/>
          </w:tcPr>
          <w:p>
            <w:pPr>
              <w:spacing w:after="0"/>
            </w:pPr>
            <w:r/>
            <w:r>
              <w:rPr>
                <w:rFonts w:ascii="Arial" w:hAnsi="Arial"/>
                <w:b w:val="0"/>
                <w:color w:val="222222"/>
                <w:sz w:val="17"/>
              </w:rPr>
              <w:t>See Fees &amp; Next Batch</w:t>
            </w:r>
          </w:p>
        </w:tc>
      </w:tr>
    </w:tbl>
    <w:p>
      <w:pPr>
        <w:spacing w:after="40"/>
      </w:pPr>
    </w:p>
    <w:p>
      <w:pPr>
        <w:pStyle w:val="Heading1"/>
      </w:pPr>
      <w:r>
        <w:t>11. Search-to-copy content architecture</w:t>
      </w:r>
    </w:p>
    <w:p>
      <w:r>
        <w:t>The uploaded strategy already recommends five pillars: Career Reality; Skills &amp; Projects; Course &amp; Location Intelligence; Proof &amp; Outcomes; and AI + Career News. [B] The strongest implementation is a hub-and-spoke system where one real learner question becomes the source for a flagship guide, short-form assets, FAQs, proof and internal links.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333333"/>
          </w:tcPr>
          <w:p>
            <w:pPr>
              <w:spacing w:after="0"/>
            </w:pPr>
            <w:r/>
            <w:r>
              <w:rPr>
                <w:rFonts w:ascii="Arial" w:hAnsi="Arial"/>
                <w:b/>
                <w:color w:val="FFFFFF"/>
                <w:sz w:val="18"/>
              </w:rPr>
              <w:t>Flagship asset</w:t>
            </w:r>
          </w:p>
        </w:tc>
        <w:tc>
          <w:tcPr>
            <w:tcW w:type="dxa" w:w="2484"/>
            <w:vAlign w:val="center"/>
            <w:shd w:fill="333333"/>
          </w:tcPr>
          <w:p>
            <w:pPr>
              <w:spacing w:after="0"/>
            </w:pPr>
            <w:r/>
            <w:r>
              <w:rPr>
                <w:rFonts w:ascii="Arial" w:hAnsi="Arial"/>
                <w:b/>
                <w:color w:val="FFFFFF"/>
                <w:sz w:val="18"/>
              </w:rPr>
              <w:t>Core question</w:t>
            </w:r>
          </w:p>
        </w:tc>
        <w:tc>
          <w:tcPr>
            <w:tcW w:type="dxa" w:w="2484"/>
            <w:vAlign w:val="center"/>
            <w:shd w:fill="333333"/>
          </w:tcPr>
          <w:p>
            <w:pPr>
              <w:spacing w:after="0"/>
            </w:pPr>
            <w:r/>
            <w:r>
              <w:rPr>
                <w:rFonts w:ascii="Arial" w:hAnsi="Arial"/>
                <w:b/>
                <w:color w:val="FFFFFF"/>
                <w:sz w:val="18"/>
              </w:rPr>
              <w:t>Supporting spokes</w:t>
            </w:r>
          </w:p>
        </w:tc>
        <w:tc>
          <w:tcPr>
            <w:tcW w:type="dxa" w:w="2484"/>
            <w:vAlign w:val="center"/>
            <w:shd w:fill="333333"/>
          </w:tcPr>
          <w:p>
            <w:pPr>
              <w:spacing w:after="0"/>
            </w:pPr>
            <w:r/>
            <w:r>
              <w:rPr>
                <w:rFonts w:ascii="Arial" w:hAnsi="Arial"/>
                <w:b/>
                <w:color w:val="FFFFFF"/>
                <w:sz w:val="18"/>
              </w:rPr>
              <w:t>Commercial bridge</w:t>
            </w:r>
          </w:p>
        </w:tc>
      </w:tr>
      <w:tr>
        <w:trPr>
          <w:cantSplit/>
        </w:trPr>
        <w:tc>
          <w:tcPr>
            <w:tcW w:type="dxa" w:w="2484"/>
            <w:vAlign w:val="center"/>
            <w:shd w:fill="F3F3F3"/>
          </w:tcPr>
          <w:p>
            <w:pPr>
              <w:spacing w:after="0"/>
            </w:pPr>
            <w:r/>
            <w:r>
              <w:rPr>
                <w:rFonts w:ascii="Arial" w:hAnsi="Arial"/>
                <w:b w:val="0"/>
                <w:color w:val="222222"/>
                <w:sz w:val="17"/>
              </w:rPr>
              <w:t>Data Analyst 90-Day Roadmap</w:t>
            </w:r>
          </w:p>
        </w:tc>
        <w:tc>
          <w:tcPr>
            <w:tcW w:type="dxa" w:w="2484"/>
            <w:vAlign w:val="center"/>
            <w:shd w:fill="F3F3F3"/>
          </w:tcPr>
          <w:p>
            <w:pPr>
              <w:spacing w:after="0"/>
            </w:pPr>
            <w:r/>
            <w:r>
              <w:rPr>
                <w:rFonts w:ascii="Arial" w:hAnsi="Arial"/>
                <w:b w:val="0"/>
                <w:color w:val="222222"/>
                <w:sz w:val="17"/>
              </w:rPr>
              <w:t>What does a fresher need to become job-ready?</w:t>
            </w:r>
          </w:p>
        </w:tc>
        <w:tc>
          <w:tcPr>
            <w:tcW w:type="dxa" w:w="2484"/>
            <w:vAlign w:val="center"/>
            <w:shd w:fill="F3F3F3"/>
          </w:tcPr>
          <w:p>
            <w:pPr>
              <w:spacing w:after="0"/>
            </w:pPr>
            <w:r/>
            <w:r>
              <w:rPr>
                <w:rFonts w:ascii="Arial" w:hAnsi="Arial"/>
                <w:b w:val="0"/>
                <w:color w:val="222222"/>
                <w:sz w:val="17"/>
              </w:rPr>
              <w:t>SQL vs Excel vs Power BI; project checklist; interview questions; skills tracker</w:t>
            </w:r>
          </w:p>
        </w:tc>
        <w:tc>
          <w:tcPr>
            <w:tcW w:type="dxa" w:w="2484"/>
            <w:vAlign w:val="center"/>
            <w:shd w:fill="F3F3F3"/>
          </w:tcPr>
          <w:p>
            <w:pPr>
              <w:spacing w:after="0"/>
            </w:pPr>
            <w:r/>
            <w:r>
              <w:rPr>
                <w:rFonts w:ascii="Arial" w:hAnsi="Arial"/>
                <w:b w:val="0"/>
                <w:color w:val="222222"/>
                <w:sz w:val="17"/>
              </w:rPr>
              <w:t>Data Analytics course</w:t>
            </w:r>
          </w:p>
        </w:tc>
      </w:tr>
      <w:tr>
        <w:trPr>
          <w:cantSplit/>
        </w:trPr>
        <w:tc>
          <w:tcPr>
            <w:tcW w:type="dxa" w:w="2484"/>
            <w:vAlign w:val="center"/>
          </w:tcPr>
          <w:p>
            <w:pPr>
              <w:spacing w:after="0"/>
            </w:pPr>
            <w:r/>
            <w:r>
              <w:rPr>
                <w:rFonts w:ascii="Arial" w:hAnsi="Arial"/>
                <w:b w:val="0"/>
                <w:color w:val="222222"/>
                <w:sz w:val="17"/>
              </w:rPr>
              <w:t>Data Analytics Course Decision Guide</w:t>
            </w:r>
          </w:p>
        </w:tc>
        <w:tc>
          <w:tcPr>
            <w:tcW w:type="dxa" w:w="2484"/>
            <w:vAlign w:val="center"/>
          </w:tcPr>
          <w:p>
            <w:pPr>
              <w:spacing w:after="0"/>
            </w:pPr>
            <w:r/>
            <w:r>
              <w:rPr>
                <w:rFonts w:ascii="Arial" w:hAnsi="Arial"/>
                <w:b w:val="0"/>
                <w:color w:val="222222"/>
                <w:sz w:val="17"/>
              </w:rPr>
              <w:t>Which course should I choose and what will it cost?</w:t>
            </w:r>
          </w:p>
        </w:tc>
        <w:tc>
          <w:tcPr>
            <w:tcW w:type="dxa" w:w="2484"/>
            <w:vAlign w:val="center"/>
          </w:tcPr>
          <w:p>
            <w:pPr>
              <w:spacing w:after="0"/>
            </w:pPr>
            <w:r/>
            <w:r>
              <w:rPr>
                <w:rFonts w:ascii="Arial" w:hAnsi="Arial"/>
                <w:b w:val="0"/>
                <w:color w:val="222222"/>
                <w:sz w:val="17"/>
              </w:rPr>
              <w:t>Fees; duration; eligibility; batch; online vs classroom; tools; comparison</w:t>
            </w:r>
          </w:p>
        </w:tc>
        <w:tc>
          <w:tcPr>
            <w:tcW w:type="dxa" w:w="2484"/>
            <w:vAlign w:val="center"/>
          </w:tcPr>
          <w:p>
            <w:pPr>
              <w:spacing w:after="0"/>
            </w:pPr>
            <w:r/>
            <w:r>
              <w:rPr>
                <w:rFonts w:ascii="Arial" w:hAnsi="Arial"/>
                <w:b w:val="0"/>
                <w:color w:val="222222"/>
                <w:sz w:val="17"/>
              </w:rPr>
              <w:t>Enquiry/demo</w:t>
            </w:r>
          </w:p>
        </w:tc>
      </w:tr>
      <w:tr>
        <w:trPr>
          <w:cantSplit/>
        </w:trPr>
        <w:tc>
          <w:tcPr>
            <w:tcW w:type="dxa" w:w="2484"/>
            <w:vAlign w:val="center"/>
            <w:shd w:fill="F3F3F3"/>
          </w:tcPr>
          <w:p>
            <w:pPr>
              <w:spacing w:after="0"/>
            </w:pPr>
            <w:r/>
            <w:r>
              <w:rPr>
                <w:rFonts w:ascii="Arial" w:hAnsi="Arial"/>
                <w:b w:val="0"/>
                <w:color w:val="222222"/>
                <w:sz w:val="17"/>
              </w:rPr>
              <w:t>Placement Assistance: How It Works</w:t>
            </w:r>
          </w:p>
        </w:tc>
        <w:tc>
          <w:tcPr>
            <w:tcW w:type="dxa" w:w="2484"/>
            <w:vAlign w:val="center"/>
            <w:shd w:fill="F3F3F3"/>
          </w:tcPr>
          <w:p>
            <w:pPr>
              <w:spacing w:after="0"/>
            </w:pPr>
            <w:r/>
            <w:r>
              <w:rPr>
                <w:rFonts w:ascii="Arial" w:hAnsi="Arial"/>
                <w:b w:val="0"/>
                <w:color w:val="222222"/>
                <w:sz w:val="17"/>
              </w:rPr>
              <w:t>What support do students actually receive?</w:t>
            </w:r>
          </w:p>
        </w:tc>
        <w:tc>
          <w:tcPr>
            <w:tcW w:type="dxa" w:w="2484"/>
            <w:vAlign w:val="center"/>
            <w:shd w:fill="F3F3F3"/>
          </w:tcPr>
          <w:p>
            <w:pPr>
              <w:spacing w:after="0"/>
            </w:pPr>
            <w:r/>
            <w:r>
              <w:rPr>
                <w:rFonts w:ascii="Arial" w:hAnsi="Arial"/>
                <w:b w:val="0"/>
                <w:color w:val="222222"/>
                <w:sz w:val="17"/>
              </w:rPr>
              <w:t>Process; eligibility; mock interviews; drives; outcome definitions; case studies</w:t>
            </w:r>
          </w:p>
        </w:tc>
        <w:tc>
          <w:tcPr>
            <w:tcW w:type="dxa" w:w="2484"/>
            <w:vAlign w:val="center"/>
            <w:shd w:fill="F3F3F3"/>
          </w:tcPr>
          <w:p>
            <w:pPr>
              <w:spacing w:after="0"/>
            </w:pPr>
            <w:r/>
            <w:r>
              <w:rPr>
                <w:rFonts w:ascii="Arial" w:hAnsi="Arial"/>
                <w:b w:val="0"/>
                <w:color w:val="222222"/>
                <w:sz w:val="17"/>
              </w:rPr>
              <w:t>Placement trust + course CTA</w:t>
            </w:r>
          </w:p>
        </w:tc>
      </w:tr>
      <w:tr>
        <w:trPr>
          <w:cantSplit/>
        </w:trPr>
        <w:tc>
          <w:tcPr>
            <w:tcW w:type="dxa" w:w="2484"/>
            <w:vAlign w:val="center"/>
          </w:tcPr>
          <w:p>
            <w:pPr>
              <w:spacing w:after="0"/>
            </w:pPr>
            <w:r/>
            <w:r>
              <w:rPr>
                <w:rFonts w:ascii="Arial" w:hAnsi="Arial"/>
                <w:b w:val="0"/>
                <w:color w:val="222222"/>
                <w:sz w:val="17"/>
              </w:rPr>
              <w:t>Mumbai/Thane IT Skills Report</w:t>
            </w:r>
          </w:p>
        </w:tc>
        <w:tc>
          <w:tcPr>
            <w:tcW w:type="dxa" w:w="2484"/>
            <w:vAlign w:val="center"/>
          </w:tcPr>
          <w:p>
            <w:pPr>
              <w:spacing w:after="0"/>
            </w:pPr>
            <w:r/>
            <w:r>
              <w:rPr>
                <w:rFonts w:ascii="Arial" w:hAnsi="Arial"/>
                <w:b w:val="0"/>
                <w:color w:val="222222"/>
                <w:sz w:val="17"/>
              </w:rPr>
              <w:t>What are local learners asking for in 2026?</w:t>
            </w:r>
          </w:p>
        </w:tc>
        <w:tc>
          <w:tcPr>
            <w:tcW w:type="dxa" w:w="2484"/>
            <w:vAlign w:val="center"/>
          </w:tcPr>
          <w:p>
            <w:pPr>
              <w:spacing w:after="0"/>
            </w:pPr>
            <w:r/>
            <w:r>
              <w:rPr>
                <w:rFonts w:ascii="Arial" w:hAnsi="Arial"/>
                <w:b w:val="0"/>
                <w:color w:val="222222"/>
                <w:sz w:val="17"/>
              </w:rPr>
              <w:t>Mini datasets; learner survey; skill trends; trainer commentary</w:t>
            </w:r>
          </w:p>
        </w:tc>
        <w:tc>
          <w:tcPr>
            <w:tcW w:type="dxa" w:w="2484"/>
            <w:vAlign w:val="center"/>
          </w:tcPr>
          <w:p>
            <w:pPr>
              <w:spacing w:after="0"/>
            </w:pPr>
            <w:r/>
            <w:r>
              <w:rPr>
                <w:rFonts w:ascii="Arial" w:hAnsi="Arial"/>
                <w:b w:val="0"/>
                <w:color w:val="222222"/>
                <w:sz w:val="17"/>
              </w:rPr>
              <w:t>Authority + branded search</w:t>
            </w:r>
          </w:p>
        </w:tc>
      </w:tr>
      <w:tr>
        <w:trPr>
          <w:cantSplit/>
        </w:trPr>
        <w:tc>
          <w:tcPr>
            <w:tcW w:type="dxa" w:w="2484"/>
            <w:vAlign w:val="center"/>
            <w:shd w:fill="F3F3F3"/>
          </w:tcPr>
          <w:p>
            <w:pPr>
              <w:spacing w:after="0"/>
            </w:pPr>
            <w:r/>
            <w:r>
              <w:rPr>
                <w:rFonts w:ascii="Arial" w:hAnsi="Arial"/>
                <w:b w:val="0"/>
                <w:color w:val="222222"/>
                <w:sz w:val="17"/>
              </w:rPr>
              <w:t>Trainer Directory</w:t>
            </w:r>
          </w:p>
        </w:tc>
        <w:tc>
          <w:tcPr>
            <w:tcW w:type="dxa" w:w="2484"/>
            <w:vAlign w:val="center"/>
            <w:shd w:fill="F3F3F3"/>
          </w:tcPr>
          <w:p>
            <w:pPr>
              <w:spacing w:after="0"/>
            </w:pPr>
            <w:r/>
            <w:r>
              <w:rPr>
                <w:rFonts w:ascii="Arial" w:hAnsi="Arial"/>
                <w:b w:val="0"/>
                <w:color w:val="222222"/>
                <w:sz w:val="17"/>
              </w:rPr>
              <w:t>Who teaches these skills?</w:t>
            </w:r>
          </w:p>
        </w:tc>
        <w:tc>
          <w:tcPr>
            <w:tcW w:type="dxa" w:w="2484"/>
            <w:vAlign w:val="center"/>
            <w:shd w:fill="F3F3F3"/>
          </w:tcPr>
          <w:p>
            <w:pPr>
              <w:spacing w:after="0"/>
            </w:pPr>
            <w:r/>
            <w:r>
              <w:rPr>
                <w:rFonts w:ascii="Arial" w:hAnsi="Arial"/>
                <w:b w:val="0"/>
                <w:color w:val="222222"/>
                <w:sz w:val="17"/>
              </w:rPr>
              <w:t>Trainer interviews; lesson snippets; project walkthroughs</w:t>
            </w:r>
          </w:p>
        </w:tc>
        <w:tc>
          <w:tcPr>
            <w:tcW w:type="dxa" w:w="2484"/>
            <w:vAlign w:val="center"/>
            <w:shd w:fill="F3F3F3"/>
          </w:tcPr>
          <w:p>
            <w:pPr>
              <w:spacing w:after="0"/>
            </w:pPr>
            <w:r/>
            <w:r>
              <w:rPr>
                <w:rFonts w:ascii="Arial" w:hAnsi="Arial"/>
                <w:b w:val="0"/>
                <w:color w:val="222222"/>
                <w:sz w:val="17"/>
              </w:rPr>
              <w:t>Expertise and trust</w:t>
            </w:r>
          </w:p>
        </w:tc>
      </w:tr>
    </w:tbl>
    <w:p>
      <w:pPr>
        <w:spacing w:after="40"/>
      </w:pPr>
    </w:p>
    <w:p>
      <w:r>
        <w:t>A 60/30/10 operating mix from the uploaded strategy remains useful: 60% searchable, 30% shareable, 10% experimental. [B] The refinement is to make every “shareable” asset point to one strong owned answer rather than operating as a disconnected social post.</w:t>
      </w:r>
    </w:p>
    <w:p>
      <w:pPr>
        <w:pStyle w:val="Heading1"/>
      </w:pPr>
      <w:r>
        <w:t>12. 12-week editorial sequence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333333"/>
          </w:tcPr>
          <w:p>
            <w:pPr>
              <w:spacing w:after="0"/>
            </w:pPr>
            <w:r/>
            <w:r>
              <w:rPr>
                <w:rFonts w:ascii="Arial" w:hAnsi="Arial"/>
                <w:b/>
                <w:color w:val="FFFFFF"/>
                <w:sz w:val="18"/>
              </w:rPr>
              <w:t>Week</w:t>
            </w:r>
          </w:p>
        </w:tc>
        <w:tc>
          <w:tcPr>
            <w:tcW w:type="dxa" w:w="2484"/>
            <w:vAlign w:val="center"/>
            <w:shd w:fill="333333"/>
          </w:tcPr>
          <w:p>
            <w:pPr>
              <w:spacing w:after="0"/>
            </w:pPr>
            <w:r/>
            <w:r>
              <w:rPr>
                <w:rFonts w:ascii="Arial" w:hAnsi="Arial"/>
                <w:b/>
                <w:color w:val="FFFFFF"/>
                <w:sz w:val="18"/>
              </w:rPr>
              <w:t>Flagship</w:t>
            </w:r>
          </w:p>
        </w:tc>
        <w:tc>
          <w:tcPr>
            <w:tcW w:type="dxa" w:w="2484"/>
            <w:vAlign w:val="center"/>
            <w:shd w:fill="333333"/>
          </w:tcPr>
          <w:p>
            <w:pPr>
              <w:spacing w:after="0"/>
            </w:pPr>
            <w:r/>
            <w:r>
              <w:rPr>
                <w:rFonts w:ascii="Arial" w:hAnsi="Arial"/>
                <w:b/>
                <w:color w:val="FFFFFF"/>
                <w:sz w:val="18"/>
              </w:rPr>
              <w:t>Short-form derivative</w:t>
            </w:r>
          </w:p>
        </w:tc>
        <w:tc>
          <w:tcPr>
            <w:tcW w:type="dxa" w:w="2484"/>
            <w:vAlign w:val="center"/>
            <w:shd w:fill="333333"/>
          </w:tcPr>
          <w:p>
            <w:pPr>
              <w:spacing w:after="0"/>
            </w:pPr>
            <w:r/>
            <w:r>
              <w:rPr>
                <w:rFonts w:ascii="Arial" w:hAnsi="Arial"/>
                <w:b/>
                <w:color w:val="FFFFFF"/>
                <w:sz w:val="18"/>
              </w:rPr>
              <w:t>Primary CTA</w:t>
            </w:r>
          </w:p>
        </w:tc>
      </w:tr>
      <w:tr>
        <w:trPr>
          <w:cantSplit/>
        </w:trPr>
        <w:tc>
          <w:tcPr>
            <w:tcW w:type="dxa" w:w="2484"/>
            <w:vAlign w:val="center"/>
            <w:shd w:fill="F3F3F3"/>
          </w:tcPr>
          <w:p>
            <w:pPr>
              <w:spacing w:after="0"/>
            </w:pPr>
            <w:r/>
            <w:r>
              <w:rPr>
                <w:rFonts w:ascii="Arial" w:hAnsi="Arial"/>
                <w:b w:val="0"/>
                <w:color w:val="222222"/>
                <w:sz w:val="17"/>
              </w:rPr>
              <w:t>1</w:t>
            </w:r>
          </w:p>
        </w:tc>
        <w:tc>
          <w:tcPr>
            <w:tcW w:type="dxa" w:w="2484"/>
            <w:vAlign w:val="center"/>
            <w:shd w:fill="F3F3F3"/>
          </w:tcPr>
          <w:p>
            <w:pPr>
              <w:spacing w:after="0"/>
            </w:pPr>
            <w:r/>
            <w:r>
              <w:rPr>
                <w:rFonts w:ascii="Arial" w:hAnsi="Arial"/>
                <w:b w:val="0"/>
                <w:color w:val="222222"/>
                <w:sz w:val="17"/>
              </w:rPr>
              <w:t>Data Analyst roadmap</w:t>
            </w:r>
          </w:p>
        </w:tc>
        <w:tc>
          <w:tcPr>
            <w:tcW w:type="dxa" w:w="2484"/>
            <w:vAlign w:val="center"/>
            <w:shd w:fill="F3F3F3"/>
          </w:tcPr>
          <w:p>
            <w:pPr>
              <w:spacing w:after="0"/>
            </w:pPr>
            <w:r/>
            <w:r>
              <w:rPr>
                <w:rFonts w:ascii="Arial" w:hAnsi="Arial"/>
                <w:b w:val="0"/>
                <w:color w:val="222222"/>
                <w:sz w:val="17"/>
              </w:rPr>
              <w:t>“You know Excel. Why no interviews?”</w:t>
            </w:r>
          </w:p>
        </w:tc>
        <w:tc>
          <w:tcPr>
            <w:tcW w:type="dxa" w:w="2484"/>
            <w:vAlign w:val="center"/>
            <w:shd w:fill="F3F3F3"/>
          </w:tcPr>
          <w:p>
            <w:pPr>
              <w:spacing w:after="0"/>
            </w:pPr>
            <w:r/>
            <w:r>
              <w:rPr>
                <w:rFonts w:ascii="Arial" w:hAnsi="Arial"/>
                <w:b w:val="0"/>
                <w:color w:val="222222"/>
                <w:sz w:val="17"/>
              </w:rPr>
              <w:t>Open the roadmap</w:t>
            </w:r>
          </w:p>
        </w:tc>
      </w:tr>
      <w:tr>
        <w:trPr>
          <w:cantSplit/>
        </w:trPr>
        <w:tc>
          <w:tcPr>
            <w:tcW w:type="dxa" w:w="2484"/>
            <w:vAlign w:val="center"/>
          </w:tcPr>
          <w:p>
            <w:pPr>
              <w:spacing w:after="0"/>
            </w:pPr>
            <w:r/>
            <w:r>
              <w:rPr>
                <w:rFonts w:ascii="Arial" w:hAnsi="Arial"/>
                <w:b w:val="0"/>
                <w:color w:val="222222"/>
                <w:sz w:val="17"/>
              </w:rPr>
              <w:t>2</w:t>
            </w:r>
          </w:p>
        </w:tc>
        <w:tc>
          <w:tcPr>
            <w:tcW w:type="dxa" w:w="2484"/>
            <w:vAlign w:val="center"/>
          </w:tcPr>
          <w:p>
            <w:pPr>
              <w:spacing w:after="0"/>
            </w:pPr>
            <w:r/>
            <w:r>
              <w:rPr>
                <w:rFonts w:ascii="Arial" w:hAnsi="Arial"/>
                <w:b w:val="0"/>
                <w:color w:val="222222"/>
                <w:sz w:val="17"/>
              </w:rPr>
              <w:t>SQL vs Excel vs Power BI</w:t>
            </w:r>
          </w:p>
        </w:tc>
        <w:tc>
          <w:tcPr>
            <w:tcW w:type="dxa" w:w="2484"/>
            <w:vAlign w:val="center"/>
          </w:tcPr>
          <w:p>
            <w:pPr>
              <w:spacing w:after="0"/>
            </w:pPr>
            <w:r/>
            <w:r>
              <w:rPr>
                <w:rFonts w:ascii="Arial" w:hAnsi="Arial"/>
                <w:b w:val="0"/>
                <w:color w:val="222222"/>
                <w:sz w:val="17"/>
              </w:rPr>
              <w:t>Decision carousel</w:t>
            </w:r>
          </w:p>
        </w:tc>
        <w:tc>
          <w:tcPr>
            <w:tcW w:type="dxa" w:w="2484"/>
            <w:vAlign w:val="center"/>
          </w:tcPr>
          <w:p>
            <w:pPr>
              <w:spacing w:after="0"/>
            </w:pPr>
            <w:r/>
            <w:r>
              <w:rPr>
                <w:rFonts w:ascii="Arial" w:hAnsi="Arial"/>
                <w:b w:val="0"/>
                <w:color w:val="222222"/>
                <w:sz w:val="17"/>
              </w:rPr>
              <w:t>See comparison</w:t>
            </w:r>
          </w:p>
        </w:tc>
      </w:tr>
      <w:tr>
        <w:trPr>
          <w:cantSplit/>
        </w:trPr>
        <w:tc>
          <w:tcPr>
            <w:tcW w:type="dxa" w:w="2484"/>
            <w:vAlign w:val="center"/>
            <w:shd w:fill="F3F3F3"/>
          </w:tcPr>
          <w:p>
            <w:pPr>
              <w:spacing w:after="0"/>
            </w:pPr>
            <w:r/>
            <w:r>
              <w:rPr>
                <w:rFonts w:ascii="Arial" w:hAnsi="Arial"/>
                <w:b w:val="0"/>
                <w:color w:val="222222"/>
                <w:sz w:val="17"/>
              </w:rPr>
              <w:t>3</w:t>
            </w:r>
          </w:p>
        </w:tc>
        <w:tc>
          <w:tcPr>
            <w:tcW w:type="dxa" w:w="2484"/>
            <w:vAlign w:val="center"/>
            <w:shd w:fill="F3F3F3"/>
          </w:tcPr>
          <w:p>
            <w:pPr>
              <w:spacing w:after="0"/>
            </w:pPr>
            <w:r/>
            <w:r>
              <w:rPr>
                <w:rFonts w:ascii="Arial" w:hAnsi="Arial"/>
                <w:b w:val="0"/>
                <w:color w:val="222222"/>
                <w:sz w:val="17"/>
              </w:rPr>
              <w:t>Student project case study</w:t>
            </w:r>
          </w:p>
        </w:tc>
        <w:tc>
          <w:tcPr>
            <w:tcW w:type="dxa" w:w="2484"/>
            <w:vAlign w:val="center"/>
            <w:shd w:fill="F3F3F3"/>
          </w:tcPr>
          <w:p>
            <w:pPr>
              <w:spacing w:after="0"/>
            </w:pPr>
            <w:r/>
            <w:r>
              <w:rPr>
                <w:rFonts w:ascii="Arial" w:hAnsi="Arial"/>
                <w:b w:val="0"/>
                <w:color w:val="222222"/>
                <w:sz w:val="17"/>
              </w:rPr>
              <w:t>Before/after project walkthrough</w:t>
            </w:r>
          </w:p>
        </w:tc>
        <w:tc>
          <w:tcPr>
            <w:tcW w:type="dxa" w:w="2484"/>
            <w:vAlign w:val="center"/>
            <w:shd w:fill="F3F3F3"/>
          </w:tcPr>
          <w:p>
            <w:pPr>
              <w:spacing w:after="0"/>
            </w:pPr>
            <w:r/>
            <w:r>
              <w:rPr>
                <w:rFonts w:ascii="Arial" w:hAnsi="Arial"/>
                <w:b w:val="0"/>
                <w:color w:val="222222"/>
                <w:sz w:val="17"/>
              </w:rPr>
              <w:t>View the full case study</w:t>
            </w:r>
          </w:p>
        </w:tc>
      </w:tr>
      <w:tr>
        <w:trPr>
          <w:cantSplit/>
        </w:trPr>
        <w:tc>
          <w:tcPr>
            <w:tcW w:type="dxa" w:w="2484"/>
            <w:vAlign w:val="center"/>
          </w:tcPr>
          <w:p>
            <w:pPr>
              <w:spacing w:after="0"/>
            </w:pPr>
            <w:r/>
            <w:r>
              <w:rPr>
                <w:rFonts w:ascii="Arial" w:hAnsi="Arial"/>
                <w:b w:val="0"/>
                <w:color w:val="222222"/>
                <w:sz w:val="17"/>
              </w:rPr>
              <w:t>4</w:t>
            </w:r>
          </w:p>
        </w:tc>
        <w:tc>
          <w:tcPr>
            <w:tcW w:type="dxa" w:w="2484"/>
            <w:vAlign w:val="center"/>
          </w:tcPr>
          <w:p>
            <w:pPr>
              <w:spacing w:after="0"/>
            </w:pPr>
            <w:r/>
            <w:r>
              <w:rPr>
                <w:rFonts w:ascii="Arial" w:hAnsi="Arial"/>
                <w:b w:val="0"/>
                <w:color w:val="222222"/>
                <w:sz w:val="17"/>
              </w:rPr>
              <w:t>Data Science vs Data Analytics vs AI</w:t>
            </w:r>
          </w:p>
        </w:tc>
        <w:tc>
          <w:tcPr>
            <w:tcW w:type="dxa" w:w="2484"/>
            <w:vAlign w:val="center"/>
          </w:tcPr>
          <w:p>
            <w:pPr>
              <w:spacing w:after="0"/>
            </w:pPr>
            <w:r/>
            <w:r>
              <w:rPr>
                <w:rFonts w:ascii="Arial" w:hAnsi="Arial"/>
                <w:b w:val="0"/>
                <w:color w:val="222222"/>
                <w:sz w:val="17"/>
              </w:rPr>
              <w:t>“Stop choosing from course names.”</w:t>
            </w:r>
          </w:p>
        </w:tc>
        <w:tc>
          <w:tcPr>
            <w:tcW w:type="dxa" w:w="2484"/>
            <w:vAlign w:val="center"/>
          </w:tcPr>
          <w:p>
            <w:pPr>
              <w:spacing w:after="0"/>
            </w:pPr>
            <w:r/>
            <w:r>
              <w:rPr>
                <w:rFonts w:ascii="Arial" w:hAnsi="Arial"/>
                <w:b w:val="0"/>
                <w:color w:val="222222"/>
                <w:sz w:val="17"/>
              </w:rPr>
              <w:t>Read the decision guide</w:t>
            </w:r>
          </w:p>
        </w:tc>
      </w:tr>
      <w:tr>
        <w:trPr>
          <w:cantSplit/>
        </w:trPr>
        <w:tc>
          <w:tcPr>
            <w:tcW w:type="dxa" w:w="2484"/>
            <w:vAlign w:val="center"/>
            <w:shd w:fill="F3F3F3"/>
          </w:tcPr>
          <w:p>
            <w:pPr>
              <w:spacing w:after="0"/>
            </w:pPr>
            <w:r/>
            <w:r>
              <w:rPr>
                <w:rFonts w:ascii="Arial" w:hAnsi="Arial"/>
                <w:b w:val="0"/>
                <w:color w:val="222222"/>
                <w:sz w:val="17"/>
              </w:rPr>
              <w:t>5</w:t>
            </w:r>
          </w:p>
        </w:tc>
        <w:tc>
          <w:tcPr>
            <w:tcW w:type="dxa" w:w="2484"/>
            <w:vAlign w:val="center"/>
            <w:shd w:fill="F3F3F3"/>
          </w:tcPr>
          <w:p>
            <w:pPr>
              <w:spacing w:after="0"/>
            </w:pPr>
            <w:r/>
            <w:r>
              <w:rPr>
                <w:rFonts w:ascii="Arial" w:hAnsi="Arial"/>
                <w:b w:val="0"/>
                <w:color w:val="222222"/>
                <w:sz w:val="17"/>
              </w:rPr>
              <w:t>Cybersecurity fresher roadmap</w:t>
            </w:r>
          </w:p>
        </w:tc>
        <w:tc>
          <w:tcPr>
            <w:tcW w:type="dxa" w:w="2484"/>
            <w:vAlign w:val="center"/>
            <w:shd w:fill="F3F3F3"/>
          </w:tcPr>
          <w:p>
            <w:pPr>
              <w:spacing w:after="0"/>
            </w:pPr>
            <w:r/>
            <w:r>
              <w:rPr>
                <w:rFonts w:ascii="Arial" w:hAnsi="Arial"/>
                <w:b w:val="0"/>
                <w:color w:val="222222"/>
                <w:sz w:val="17"/>
              </w:rPr>
              <w:t>Skills checklist reel</w:t>
            </w:r>
          </w:p>
        </w:tc>
        <w:tc>
          <w:tcPr>
            <w:tcW w:type="dxa" w:w="2484"/>
            <w:vAlign w:val="center"/>
            <w:shd w:fill="F3F3F3"/>
          </w:tcPr>
          <w:p>
            <w:pPr>
              <w:spacing w:after="0"/>
            </w:pPr>
            <w:r/>
            <w:r>
              <w:rPr>
                <w:rFonts w:ascii="Arial" w:hAnsi="Arial"/>
                <w:b w:val="0"/>
                <w:color w:val="222222"/>
                <w:sz w:val="17"/>
              </w:rPr>
              <w:t>Download roadmap</w:t>
            </w:r>
          </w:p>
        </w:tc>
      </w:tr>
      <w:tr>
        <w:trPr>
          <w:cantSplit/>
        </w:trPr>
        <w:tc>
          <w:tcPr>
            <w:tcW w:type="dxa" w:w="2484"/>
            <w:vAlign w:val="center"/>
          </w:tcPr>
          <w:p>
            <w:pPr>
              <w:spacing w:after="0"/>
            </w:pPr>
            <w:r/>
            <w:r>
              <w:rPr>
                <w:rFonts w:ascii="Arial" w:hAnsi="Arial"/>
                <w:b w:val="0"/>
                <w:color w:val="222222"/>
                <w:sz w:val="17"/>
              </w:rPr>
              <w:t>6</w:t>
            </w:r>
          </w:p>
        </w:tc>
        <w:tc>
          <w:tcPr>
            <w:tcW w:type="dxa" w:w="2484"/>
            <w:vAlign w:val="center"/>
          </w:tcPr>
          <w:p>
            <w:pPr>
              <w:spacing w:after="0"/>
            </w:pPr>
            <w:r/>
            <w:r>
              <w:rPr>
                <w:rFonts w:ascii="Arial" w:hAnsi="Arial"/>
                <w:b w:val="0"/>
                <w:color w:val="222222"/>
                <w:sz w:val="17"/>
              </w:rPr>
              <w:t>Placement assistance explained</w:t>
            </w:r>
          </w:p>
        </w:tc>
        <w:tc>
          <w:tcPr>
            <w:tcW w:type="dxa" w:w="2484"/>
            <w:vAlign w:val="center"/>
          </w:tcPr>
          <w:p>
            <w:pPr>
              <w:spacing w:after="0"/>
            </w:pPr>
            <w:r/>
            <w:r>
              <w:rPr>
                <w:rFonts w:ascii="Arial" w:hAnsi="Arial"/>
                <w:b w:val="0"/>
                <w:color w:val="222222"/>
                <w:sz w:val="17"/>
              </w:rPr>
              <w:t>Process explainer</w:t>
            </w:r>
          </w:p>
        </w:tc>
        <w:tc>
          <w:tcPr>
            <w:tcW w:type="dxa" w:w="2484"/>
            <w:vAlign w:val="center"/>
          </w:tcPr>
          <w:p>
            <w:pPr>
              <w:spacing w:after="0"/>
            </w:pPr>
            <w:r/>
            <w:r>
              <w:rPr>
                <w:rFonts w:ascii="Arial" w:hAnsi="Arial"/>
                <w:b w:val="0"/>
                <w:color w:val="222222"/>
                <w:sz w:val="17"/>
              </w:rPr>
              <w:t>See how support works</w:t>
            </w:r>
          </w:p>
        </w:tc>
      </w:tr>
      <w:tr>
        <w:trPr>
          <w:cantSplit/>
        </w:trPr>
        <w:tc>
          <w:tcPr>
            <w:tcW w:type="dxa" w:w="2484"/>
            <w:vAlign w:val="center"/>
            <w:shd w:fill="F3F3F3"/>
          </w:tcPr>
          <w:p>
            <w:pPr>
              <w:spacing w:after="0"/>
            </w:pPr>
            <w:r/>
            <w:r>
              <w:rPr>
                <w:rFonts w:ascii="Arial" w:hAnsi="Arial"/>
                <w:b w:val="0"/>
                <w:color w:val="222222"/>
                <w:sz w:val="17"/>
              </w:rPr>
              <w:t>7</w:t>
            </w:r>
          </w:p>
        </w:tc>
        <w:tc>
          <w:tcPr>
            <w:tcW w:type="dxa" w:w="2484"/>
            <w:vAlign w:val="center"/>
            <w:shd w:fill="F3F3F3"/>
          </w:tcPr>
          <w:p>
            <w:pPr>
              <w:spacing w:after="0"/>
            </w:pPr>
            <w:r/>
            <w:r>
              <w:rPr>
                <w:rFonts w:ascii="Arial" w:hAnsi="Arial"/>
                <w:b w:val="0"/>
                <w:color w:val="222222"/>
                <w:sz w:val="17"/>
              </w:rPr>
              <w:t>Cloud roadmap</w:t>
            </w:r>
          </w:p>
        </w:tc>
        <w:tc>
          <w:tcPr>
            <w:tcW w:type="dxa" w:w="2484"/>
            <w:vAlign w:val="center"/>
            <w:shd w:fill="F3F3F3"/>
          </w:tcPr>
          <w:p>
            <w:pPr>
              <w:spacing w:after="0"/>
            </w:pPr>
            <w:r/>
            <w:r>
              <w:rPr>
                <w:rFonts w:ascii="Arial" w:hAnsi="Arial"/>
                <w:b w:val="0"/>
                <w:color w:val="222222"/>
                <w:sz w:val="17"/>
              </w:rPr>
              <w:t>AWS + Linux + networking demo</w:t>
            </w:r>
          </w:p>
        </w:tc>
        <w:tc>
          <w:tcPr>
            <w:tcW w:type="dxa" w:w="2484"/>
            <w:vAlign w:val="center"/>
            <w:shd w:fill="F3F3F3"/>
          </w:tcPr>
          <w:p>
            <w:pPr>
              <w:spacing w:after="0"/>
            </w:pPr>
            <w:r/>
            <w:r>
              <w:rPr>
                <w:rFonts w:ascii="Arial" w:hAnsi="Arial"/>
                <w:b w:val="0"/>
                <w:color w:val="222222"/>
                <w:sz w:val="17"/>
              </w:rPr>
              <w:t>View the roadmap</w:t>
            </w:r>
          </w:p>
        </w:tc>
      </w:tr>
      <w:tr>
        <w:trPr>
          <w:cantSplit/>
        </w:trPr>
        <w:tc>
          <w:tcPr>
            <w:tcW w:type="dxa" w:w="2484"/>
            <w:vAlign w:val="center"/>
          </w:tcPr>
          <w:p>
            <w:pPr>
              <w:spacing w:after="0"/>
            </w:pPr>
            <w:r/>
            <w:r>
              <w:rPr>
                <w:rFonts w:ascii="Arial" w:hAnsi="Arial"/>
                <w:b w:val="0"/>
                <w:color w:val="222222"/>
                <w:sz w:val="17"/>
              </w:rPr>
              <w:t>8</w:t>
            </w:r>
          </w:p>
        </w:tc>
        <w:tc>
          <w:tcPr>
            <w:tcW w:type="dxa" w:w="2484"/>
            <w:vAlign w:val="center"/>
          </w:tcPr>
          <w:p>
            <w:pPr>
              <w:spacing w:after="0"/>
            </w:pPr>
            <w:r/>
            <w:r>
              <w:rPr>
                <w:rFonts w:ascii="Arial" w:hAnsi="Arial"/>
                <w:b w:val="0"/>
                <w:color w:val="222222"/>
                <w:sz w:val="17"/>
              </w:rPr>
              <w:t>Full Stack vs Data Analytics vs Cyber Security</w:t>
            </w:r>
          </w:p>
        </w:tc>
        <w:tc>
          <w:tcPr>
            <w:tcW w:type="dxa" w:w="2484"/>
            <w:vAlign w:val="center"/>
          </w:tcPr>
          <w:p>
            <w:pPr>
              <w:spacing w:after="0"/>
            </w:pPr>
            <w:r/>
            <w:r>
              <w:rPr>
                <w:rFonts w:ascii="Arial" w:hAnsi="Arial"/>
                <w:b w:val="0"/>
                <w:color w:val="222222"/>
                <w:sz w:val="17"/>
              </w:rPr>
              <w:t>Career comparison</w:t>
            </w:r>
          </w:p>
        </w:tc>
        <w:tc>
          <w:tcPr>
            <w:tcW w:type="dxa" w:w="2484"/>
            <w:vAlign w:val="center"/>
          </w:tcPr>
          <w:p>
            <w:pPr>
              <w:spacing w:after="0"/>
            </w:pPr>
            <w:r/>
            <w:r>
              <w:rPr>
                <w:rFonts w:ascii="Arial" w:hAnsi="Arial"/>
                <w:b w:val="0"/>
                <w:color w:val="222222"/>
                <w:sz w:val="17"/>
              </w:rPr>
              <w:t>Choose a path</w:t>
            </w:r>
          </w:p>
        </w:tc>
      </w:tr>
      <w:tr>
        <w:trPr>
          <w:cantSplit/>
        </w:trPr>
        <w:tc>
          <w:tcPr>
            <w:tcW w:type="dxa" w:w="2484"/>
            <w:vAlign w:val="center"/>
            <w:shd w:fill="F3F3F3"/>
          </w:tcPr>
          <w:p>
            <w:pPr>
              <w:spacing w:after="0"/>
            </w:pPr>
            <w:r/>
            <w:r>
              <w:rPr>
                <w:rFonts w:ascii="Arial" w:hAnsi="Arial"/>
                <w:b w:val="0"/>
                <w:color w:val="222222"/>
                <w:sz w:val="17"/>
              </w:rPr>
              <w:t>9</w:t>
            </w:r>
          </w:p>
        </w:tc>
        <w:tc>
          <w:tcPr>
            <w:tcW w:type="dxa" w:w="2484"/>
            <w:vAlign w:val="center"/>
            <w:shd w:fill="F3F3F3"/>
          </w:tcPr>
          <w:p>
            <w:pPr>
              <w:spacing w:after="0"/>
            </w:pPr>
            <w:r/>
            <w:r>
              <w:rPr>
                <w:rFonts w:ascii="Arial" w:hAnsi="Arial"/>
                <w:b w:val="0"/>
                <w:color w:val="222222"/>
                <w:sz w:val="17"/>
              </w:rPr>
              <w:t>Thane/Mumbai course decision guide</w:t>
            </w:r>
          </w:p>
        </w:tc>
        <w:tc>
          <w:tcPr>
            <w:tcW w:type="dxa" w:w="2484"/>
            <w:vAlign w:val="center"/>
            <w:shd w:fill="F3F3F3"/>
          </w:tcPr>
          <w:p>
            <w:pPr>
              <w:spacing w:after="0"/>
            </w:pPr>
            <w:r/>
            <w:r>
              <w:rPr>
                <w:rFonts w:ascii="Arial" w:hAnsi="Arial"/>
                <w:b w:val="0"/>
                <w:color w:val="222222"/>
                <w:sz w:val="17"/>
              </w:rPr>
              <w:t>Local checklist</w:t>
            </w:r>
          </w:p>
        </w:tc>
        <w:tc>
          <w:tcPr>
            <w:tcW w:type="dxa" w:w="2484"/>
            <w:vAlign w:val="center"/>
            <w:shd w:fill="F3F3F3"/>
          </w:tcPr>
          <w:p>
            <w:pPr>
              <w:spacing w:after="0"/>
            </w:pPr>
            <w:r/>
            <w:r>
              <w:rPr>
                <w:rFonts w:ascii="Arial" w:hAnsi="Arial"/>
                <w:b w:val="0"/>
                <w:color w:val="222222"/>
                <w:sz w:val="17"/>
              </w:rPr>
              <w:t>Check current course details</w:t>
            </w:r>
          </w:p>
        </w:tc>
      </w:tr>
      <w:tr>
        <w:trPr>
          <w:cantSplit/>
        </w:trPr>
        <w:tc>
          <w:tcPr>
            <w:tcW w:type="dxa" w:w="2484"/>
            <w:vAlign w:val="center"/>
          </w:tcPr>
          <w:p>
            <w:pPr>
              <w:spacing w:after="0"/>
            </w:pPr>
            <w:r/>
            <w:r>
              <w:rPr>
                <w:rFonts w:ascii="Arial" w:hAnsi="Arial"/>
                <w:b w:val="0"/>
                <w:color w:val="222222"/>
                <w:sz w:val="17"/>
              </w:rPr>
              <w:t>10</w:t>
            </w:r>
          </w:p>
        </w:tc>
        <w:tc>
          <w:tcPr>
            <w:tcW w:type="dxa" w:w="2484"/>
            <w:vAlign w:val="center"/>
          </w:tcPr>
          <w:p>
            <w:pPr>
              <w:spacing w:after="0"/>
            </w:pPr>
            <w:r/>
            <w:r>
              <w:rPr>
                <w:rFonts w:ascii="Arial" w:hAnsi="Arial"/>
                <w:b w:val="0"/>
                <w:color w:val="222222"/>
                <w:sz w:val="17"/>
              </w:rPr>
              <w:t>Trainer interview</w:t>
            </w:r>
          </w:p>
        </w:tc>
        <w:tc>
          <w:tcPr>
            <w:tcW w:type="dxa" w:w="2484"/>
            <w:vAlign w:val="center"/>
          </w:tcPr>
          <w:p>
            <w:pPr>
              <w:spacing w:after="0"/>
            </w:pPr>
            <w:r/>
            <w:r>
              <w:rPr>
                <w:rFonts w:ascii="Arial" w:hAnsi="Arial"/>
                <w:b w:val="0"/>
                <w:color w:val="222222"/>
                <w:sz w:val="17"/>
              </w:rPr>
              <w:t>Expert quote reel</w:t>
            </w:r>
          </w:p>
        </w:tc>
        <w:tc>
          <w:tcPr>
            <w:tcW w:type="dxa" w:w="2484"/>
            <w:vAlign w:val="center"/>
          </w:tcPr>
          <w:p>
            <w:pPr>
              <w:spacing w:after="0"/>
            </w:pPr>
            <w:r/>
            <w:r>
              <w:rPr>
                <w:rFonts w:ascii="Arial" w:hAnsi="Arial"/>
                <w:b w:val="0"/>
                <w:color w:val="222222"/>
                <w:sz w:val="17"/>
              </w:rPr>
              <w:t>Meet the trainer</w:t>
            </w:r>
          </w:p>
        </w:tc>
      </w:tr>
      <w:tr>
        <w:trPr>
          <w:cantSplit/>
        </w:trPr>
        <w:tc>
          <w:tcPr>
            <w:tcW w:type="dxa" w:w="2484"/>
            <w:vAlign w:val="center"/>
            <w:shd w:fill="F3F3F3"/>
          </w:tcPr>
          <w:p>
            <w:pPr>
              <w:spacing w:after="0"/>
            </w:pPr>
            <w:r/>
            <w:r>
              <w:rPr>
                <w:rFonts w:ascii="Arial" w:hAnsi="Arial"/>
                <w:b w:val="0"/>
                <w:color w:val="222222"/>
                <w:sz w:val="17"/>
              </w:rPr>
              <w:t>11</w:t>
            </w:r>
          </w:p>
        </w:tc>
        <w:tc>
          <w:tcPr>
            <w:tcW w:type="dxa" w:w="2484"/>
            <w:vAlign w:val="center"/>
            <w:shd w:fill="F3F3F3"/>
          </w:tcPr>
          <w:p>
            <w:pPr>
              <w:spacing w:after="0"/>
            </w:pPr>
            <w:r/>
            <w:r>
              <w:rPr>
                <w:rFonts w:ascii="Arial" w:hAnsi="Arial"/>
                <w:b w:val="0"/>
                <w:color w:val="222222"/>
                <w:sz w:val="17"/>
              </w:rPr>
              <w:t>Local IT skills pulse</w:t>
            </w:r>
          </w:p>
        </w:tc>
        <w:tc>
          <w:tcPr>
            <w:tcW w:type="dxa" w:w="2484"/>
            <w:vAlign w:val="center"/>
            <w:shd w:fill="F3F3F3"/>
          </w:tcPr>
          <w:p>
            <w:pPr>
              <w:spacing w:after="0"/>
            </w:pPr>
            <w:r/>
            <w:r>
              <w:rPr>
                <w:rFonts w:ascii="Arial" w:hAnsi="Arial"/>
                <w:b w:val="0"/>
                <w:color w:val="222222"/>
                <w:sz w:val="17"/>
              </w:rPr>
              <w:t>One data point per post</w:t>
            </w:r>
          </w:p>
        </w:tc>
        <w:tc>
          <w:tcPr>
            <w:tcW w:type="dxa" w:w="2484"/>
            <w:vAlign w:val="center"/>
            <w:shd w:fill="F3F3F3"/>
          </w:tcPr>
          <w:p>
            <w:pPr>
              <w:spacing w:after="0"/>
            </w:pPr>
            <w:r/>
            <w:r>
              <w:rPr>
                <w:rFonts w:ascii="Arial" w:hAnsi="Arial"/>
                <w:b w:val="0"/>
                <w:color w:val="222222"/>
                <w:sz w:val="17"/>
              </w:rPr>
              <w:t>Read the report</w:t>
            </w:r>
          </w:p>
        </w:tc>
      </w:tr>
      <w:tr>
        <w:trPr>
          <w:cantSplit/>
        </w:trPr>
        <w:tc>
          <w:tcPr>
            <w:tcW w:type="dxa" w:w="2484"/>
            <w:vAlign w:val="center"/>
          </w:tcPr>
          <w:p>
            <w:pPr>
              <w:spacing w:after="0"/>
            </w:pPr>
            <w:r/>
            <w:r>
              <w:rPr>
                <w:rFonts w:ascii="Arial" w:hAnsi="Arial"/>
                <w:b w:val="0"/>
                <w:color w:val="222222"/>
                <w:sz w:val="17"/>
              </w:rPr>
              <w:t>12</w:t>
            </w:r>
          </w:p>
        </w:tc>
        <w:tc>
          <w:tcPr>
            <w:tcW w:type="dxa" w:w="2484"/>
            <w:vAlign w:val="center"/>
          </w:tcPr>
          <w:p>
            <w:pPr>
              <w:spacing w:after="0"/>
            </w:pPr>
            <w:r/>
            <w:r>
              <w:rPr>
                <w:rFonts w:ascii="Arial" w:hAnsi="Arial"/>
                <w:b w:val="0"/>
                <w:color w:val="222222"/>
                <w:sz w:val="17"/>
              </w:rPr>
              <w:t>2026 refresh roundup</w:t>
            </w:r>
          </w:p>
        </w:tc>
        <w:tc>
          <w:tcPr>
            <w:tcW w:type="dxa" w:w="2484"/>
            <w:vAlign w:val="center"/>
          </w:tcPr>
          <w:p>
            <w:pPr>
              <w:spacing w:after="0"/>
            </w:pPr>
            <w:r/>
            <w:r>
              <w:rPr>
                <w:rFonts w:ascii="Arial" w:hAnsi="Arial"/>
                <w:b w:val="0"/>
                <w:color w:val="222222"/>
                <w:sz w:val="17"/>
              </w:rPr>
              <w:t>“What changed this year?”</w:t>
            </w:r>
          </w:p>
        </w:tc>
        <w:tc>
          <w:tcPr>
            <w:tcW w:type="dxa" w:w="2484"/>
            <w:vAlign w:val="center"/>
          </w:tcPr>
          <w:p>
            <w:pPr>
              <w:spacing w:after="0"/>
            </w:pPr>
            <w:r/>
            <w:r>
              <w:rPr>
                <w:rFonts w:ascii="Arial" w:hAnsi="Arial"/>
                <w:b w:val="0"/>
                <w:color w:val="222222"/>
                <w:sz w:val="17"/>
              </w:rPr>
              <w:t>See updated guides</w:t>
            </w:r>
          </w:p>
        </w:tc>
      </w:tr>
    </w:tbl>
    <w:p>
      <w:pPr>
        <w:spacing w:after="40"/>
      </w:pPr>
    </w:p>
    <w:p>
      <w:pPr>
        <w:pStyle w:val="Heading1"/>
      </w:pPr>
      <w:r>
        <w:t>13. Measurement framework</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333333"/>
          </w:tcPr>
          <w:p>
            <w:pPr>
              <w:spacing w:after="0"/>
            </w:pPr>
            <w:r/>
            <w:r>
              <w:rPr>
                <w:rFonts w:ascii="Arial" w:hAnsi="Arial"/>
                <w:b/>
                <w:color w:val="FFFFFF"/>
                <w:sz w:val="18"/>
              </w:rPr>
              <w:t>Metric</w:t>
            </w:r>
          </w:p>
        </w:tc>
        <w:tc>
          <w:tcPr>
            <w:tcW w:type="dxa" w:w="2484"/>
            <w:vAlign w:val="center"/>
            <w:shd w:fill="333333"/>
          </w:tcPr>
          <w:p>
            <w:pPr>
              <w:spacing w:after="0"/>
            </w:pPr>
            <w:r/>
            <w:r>
              <w:rPr>
                <w:rFonts w:ascii="Arial" w:hAnsi="Arial"/>
                <w:b/>
                <w:color w:val="FFFFFF"/>
                <w:sz w:val="18"/>
              </w:rPr>
              <w:t>Why it matters</w:t>
            </w:r>
          </w:p>
        </w:tc>
        <w:tc>
          <w:tcPr>
            <w:tcW w:type="dxa" w:w="2484"/>
            <w:vAlign w:val="center"/>
            <w:shd w:fill="333333"/>
          </w:tcPr>
          <w:p>
            <w:pPr>
              <w:spacing w:after="0"/>
            </w:pPr>
            <w:r/>
            <w:r>
              <w:rPr>
                <w:rFonts w:ascii="Arial" w:hAnsi="Arial"/>
                <w:b/>
                <w:color w:val="FFFFFF"/>
                <w:sz w:val="18"/>
              </w:rPr>
              <w:t>Cadence</w:t>
            </w:r>
          </w:p>
        </w:tc>
        <w:tc>
          <w:tcPr>
            <w:tcW w:type="dxa" w:w="2484"/>
            <w:vAlign w:val="center"/>
            <w:shd w:fill="333333"/>
          </w:tcPr>
          <w:p>
            <w:pPr>
              <w:spacing w:after="0"/>
            </w:pPr>
            <w:r/>
            <w:r>
              <w:rPr>
                <w:rFonts w:ascii="Arial" w:hAnsi="Arial"/>
                <w:b/>
                <w:color w:val="FFFFFF"/>
                <w:sz w:val="18"/>
              </w:rPr>
              <w:t>Interpretation</w:t>
            </w:r>
          </w:p>
        </w:tc>
      </w:tr>
      <w:tr>
        <w:trPr>
          <w:cantSplit/>
        </w:trPr>
        <w:tc>
          <w:tcPr>
            <w:tcW w:type="dxa" w:w="2484"/>
            <w:vAlign w:val="center"/>
            <w:shd w:fill="F3F3F3"/>
          </w:tcPr>
          <w:p>
            <w:pPr>
              <w:spacing w:after="0"/>
            </w:pPr>
            <w:r/>
            <w:r>
              <w:rPr>
                <w:rFonts w:ascii="Arial" w:hAnsi="Arial"/>
                <w:b w:val="0"/>
                <w:color w:val="222222"/>
                <w:sz w:val="17"/>
              </w:rPr>
              <w:t>Non-brand organic clicks</w:t>
            </w:r>
          </w:p>
        </w:tc>
        <w:tc>
          <w:tcPr>
            <w:tcW w:type="dxa" w:w="2484"/>
            <w:vAlign w:val="center"/>
            <w:shd w:fill="F3F3F3"/>
          </w:tcPr>
          <w:p>
            <w:pPr>
              <w:spacing w:after="0"/>
            </w:pPr>
            <w:r/>
            <w:r>
              <w:rPr>
                <w:rFonts w:ascii="Arial" w:hAnsi="Arial"/>
                <w:b w:val="0"/>
                <w:color w:val="222222"/>
                <w:sz w:val="17"/>
              </w:rPr>
              <w:t>Shows whether generic career/course demand is being captured.</w:t>
            </w:r>
          </w:p>
        </w:tc>
        <w:tc>
          <w:tcPr>
            <w:tcW w:type="dxa" w:w="2484"/>
            <w:vAlign w:val="center"/>
            <w:shd w:fill="F3F3F3"/>
          </w:tcPr>
          <w:p>
            <w:pPr>
              <w:spacing w:after="0"/>
            </w:pPr>
            <w:r/>
            <w:r>
              <w:rPr>
                <w:rFonts w:ascii="Arial" w:hAnsi="Arial"/>
                <w:b w:val="0"/>
                <w:color w:val="222222"/>
                <w:sz w:val="17"/>
              </w:rPr>
              <w:t>Weekly</w:t>
            </w:r>
          </w:p>
        </w:tc>
        <w:tc>
          <w:tcPr>
            <w:tcW w:type="dxa" w:w="2484"/>
            <w:vAlign w:val="center"/>
            <w:shd w:fill="F3F3F3"/>
          </w:tcPr>
          <w:p>
            <w:pPr>
              <w:spacing w:after="0"/>
            </w:pPr>
            <w:r/>
            <w:r>
              <w:rPr>
                <w:rFonts w:ascii="Arial" w:hAnsi="Arial"/>
                <w:b w:val="0"/>
                <w:color w:val="222222"/>
                <w:sz w:val="17"/>
              </w:rPr>
              <w:t>Primary discovery metric.</w:t>
            </w:r>
          </w:p>
        </w:tc>
      </w:tr>
      <w:tr>
        <w:trPr>
          <w:cantSplit/>
        </w:trPr>
        <w:tc>
          <w:tcPr>
            <w:tcW w:type="dxa" w:w="2484"/>
            <w:vAlign w:val="center"/>
          </w:tcPr>
          <w:p>
            <w:pPr>
              <w:spacing w:after="0"/>
            </w:pPr>
            <w:r/>
            <w:r>
              <w:rPr>
                <w:rFonts w:ascii="Arial" w:hAnsi="Arial"/>
                <w:b w:val="0"/>
                <w:color w:val="222222"/>
                <w:sz w:val="17"/>
              </w:rPr>
              <w:t>Topic coverage</w:t>
            </w:r>
          </w:p>
        </w:tc>
        <w:tc>
          <w:tcPr>
            <w:tcW w:type="dxa" w:w="2484"/>
            <w:vAlign w:val="center"/>
          </w:tcPr>
          <w:p>
            <w:pPr>
              <w:spacing w:after="0"/>
            </w:pPr>
            <w:r/>
            <w:r>
              <w:rPr>
                <w:rFonts w:ascii="Arial" w:hAnsi="Arial"/>
                <w:b w:val="0"/>
                <w:color w:val="222222"/>
                <w:sz w:val="17"/>
              </w:rPr>
              <w:t>Shows whether priority queries have useful indexed pages.</w:t>
            </w:r>
          </w:p>
        </w:tc>
        <w:tc>
          <w:tcPr>
            <w:tcW w:type="dxa" w:w="2484"/>
            <w:vAlign w:val="center"/>
          </w:tcPr>
          <w:p>
            <w:pPr>
              <w:spacing w:after="0"/>
            </w:pPr>
            <w:r/>
            <w:r>
              <w:rPr>
                <w:rFonts w:ascii="Arial" w:hAnsi="Arial"/>
                <w:b w:val="0"/>
                <w:color w:val="222222"/>
                <w:sz w:val="17"/>
              </w:rPr>
              <w:t>Monthly</w:t>
            </w:r>
          </w:p>
        </w:tc>
        <w:tc>
          <w:tcPr>
            <w:tcW w:type="dxa" w:w="2484"/>
            <w:vAlign w:val="center"/>
          </w:tcPr>
          <w:p>
            <w:pPr>
              <w:spacing w:after="0"/>
            </w:pPr>
            <w:r/>
            <w:r>
              <w:rPr>
                <w:rFonts w:ascii="Arial" w:hAnsi="Arial"/>
                <w:b w:val="0"/>
                <w:color w:val="222222"/>
                <w:sz w:val="17"/>
              </w:rPr>
              <w:t>Content-gap metric.</w:t>
            </w:r>
          </w:p>
        </w:tc>
      </w:tr>
      <w:tr>
        <w:trPr>
          <w:cantSplit/>
        </w:trPr>
        <w:tc>
          <w:tcPr>
            <w:tcW w:type="dxa" w:w="2484"/>
            <w:vAlign w:val="center"/>
            <w:shd w:fill="F3F3F3"/>
          </w:tcPr>
          <w:p>
            <w:pPr>
              <w:spacing w:after="0"/>
            </w:pPr>
            <w:r/>
            <w:r>
              <w:rPr>
                <w:rFonts w:ascii="Arial" w:hAnsi="Arial"/>
                <w:b w:val="0"/>
                <w:color w:val="222222"/>
                <w:sz w:val="17"/>
              </w:rPr>
              <w:t>Google generative AI visibility</w:t>
            </w:r>
          </w:p>
        </w:tc>
        <w:tc>
          <w:tcPr>
            <w:tcW w:type="dxa" w:w="2484"/>
            <w:vAlign w:val="center"/>
            <w:shd w:fill="F3F3F3"/>
          </w:tcPr>
          <w:p>
            <w:pPr>
              <w:spacing w:after="0"/>
            </w:pPr>
            <w:r/>
            <w:r>
              <w:rPr>
                <w:rFonts w:ascii="Arial" w:hAnsi="Arial"/>
                <w:b w:val="0"/>
                <w:color w:val="222222"/>
                <w:sz w:val="17"/>
              </w:rPr>
              <w:t>Uses Search Console generative AI reporting where available. [18]</w:t>
            </w:r>
          </w:p>
        </w:tc>
        <w:tc>
          <w:tcPr>
            <w:tcW w:type="dxa" w:w="2484"/>
            <w:vAlign w:val="center"/>
            <w:shd w:fill="F3F3F3"/>
          </w:tcPr>
          <w:p>
            <w:pPr>
              <w:spacing w:after="0"/>
            </w:pPr>
            <w:r/>
            <w:r>
              <w:rPr>
                <w:rFonts w:ascii="Arial" w:hAnsi="Arial"/>
                <w:b w:val="0"/>
                <w:color w:val="222222"/>
                <w:sz w:val="17"/>
              </w:rPr>
              <w:t>Monthly</w:t>
            </w:r>
          </w:p>
        </w:tc>
        <w:tc>
          <w:tcPr>
            <w:tcW w:type="dxa" w:w="2484"/>
            <w:vAlign w:val="center"/>
            <w:shd w:fill="F3F3F3"/>
          </w:tcPr>
          <w:p>
            <w:pPr>
              <w:spacing w:after="0"/>
            </w:pPr>
            <w:r/>
            <w:r>
              <w:rPr>
                <w:rFonts w:ascii="Arial" w:hAnsi="Arial"/>
                <w:b w:val="0"/>
                <w:color w:val="222222"/>
                <w:sz w:val="17"/>
              </w:rPr>
              <w:t>Directional AI-search metric.</w:t>
            </w:r>
          </w:p>
        </w:tc>
      </w:tr>
      <w:tr>
        <w:trPr>
          <w:cantSplit/>
        </w:trPr>
        <w:tc>
          <w:tcPr>
            <w:tcW w:type="dxa" w:w="2484"/>
            <w:vAlign w:val="center"/>
          </w:tcPr>
          <w:p>
            <w:pPr>
              <w:spacing w:after="0"/>
            </w:pPr>
            <w:r/>
            <w:r>
              <w:rPr>
                <w:rFonts w:ascii="Arial" w:hAnsi="Arial"/>
                <w:b w:val="0"/>
                <w:color w:val="222222"/>
                <w:sz w:val="17"/>
              </w:rPr>
              <w:t>AI mention/citation benchmark</w:t>
            </w:r>
          </w:p>
        </w:tc>
        <w:tc>
          <w:tcPr>
            <w:tcW w:type="dxa" w:w="2484"/>
            <w:vAlign w:val="center"/>
          </w:tcPr>
          <w:p>
            <w:pPr>
              <w:spacing w:after="0"/>
            </w:pPr>
            <w:r/>
            <w:r>
              <w:rPr>
                <w:rFonts w:ascii="Arial" w:hAnsi="Arial"/>
                <w:b w:val="0"/>
                <w:color w:val="222222"/>
                <w:sz w:val="17"/>
              </w:rPr>
              <w:t>Repeated sampling across ChatGPT/Perplexity/Google AI features.</w:t>
            </w:r>
          </w:p>
        </w:tc>
        <w:tc>
          <w:tcPr>
            <w:tcW w:type="dxa" w:w="2484"/>
            <w:vAlign w:val="center"/>
          </w:tcPr>
          <w:p>
            <w:pPr>
              <w:spacing w:after="0"/>
            </w:pPr>
            <w:r/>
            <w:r>
              <w:rPr>
                <w:rFonts w:ascii="Arial" w:hAnsi="Arial"/>
                <w:b w:val="0"/>
                <w:color w:val="222222"/>
                <w:sz w:val="17"/>
              </w:rPr>
              <w:t>Monthly</w:t>
            </w:r>
          </w:p>
        </w:tc>
        <w:tc>
          <w:tcPr>
            <w:tcW w:type="dxa" w:w="2484"/>
            <w:vAlign w:val="center"/>
          </w:tcPr>
          <w:p>
            <w:pPr>
              <w:spacing w:after="0"/>
            </w:pPr>
            <w:r/>
            <w:r>
              <w:rPr>
                <w:rFonts w:ascii="Arial" w:hAnsi="Arial"/>
                <w:b w:val="0"/>
                <w:color w:val="222222"/>
                <w:sz w:val="17"/>
              </w:rPr>
              <w:t>Use repeated runs, not one-off prompts.</w:t>
            </w:r>
          </w:p>
        </w:tc>
      </w:tr>
      <w:tr>
        <w:trPr>
          <w:cantSplit/>
        </w:trPr>
        <w:tc>
          <w:tcPr>
            <w:tcW w:type="dxa" w:w="2484"/>
            <w:vAlign w:val="center"/>
            <w:shd w:fill="F3F3F3"/>
          </w:tcPr>
          <w:p>
            <w:pPr>
              <w:spacing w:after="0"/>
            </w:pPr>
            <w:r/>
            <w:r>
              <w:rPr>
                <w:rFonts w:ascii="Arial" w:hAnsi="Arial"/>
                <w:b w:val="0"/>
                <w:color w:val="222222"/>
                <w:sz w:val="17"/>
              </w:rPr>
              <w:t>Qualified enquiry rate</w:t>
            </w:r>
          </w:p>
        </w:tc>
        <w:tc>
          <w:tcPr>
            <w:tcW w:type="dxa" w:w="2484"/>
            <w:vAlign w:val="center"/>
            <w:shd w:fill="F3F3F3"/>
          </w:tcPr>
          <w:p>
            <w:pPr>
              <w:spacing w:after="0"/>
            </w:pPr>
            <w:r/>
            <w:r>
              <w:rPr>
                <w:rFonts w:ascii="Arial" w:hAnsi="Arial"/>
                <w:b w:val="0"/>
                <w:color w:val="222222"/>
                <w:sz w:val="17"/>
              </w:rPr>
              <w:t>Separates traffic from relevant commercial demand.</w:t>
            </w:r>
          </w:p>
        </w:tc>
        <w:tc>
          <w:tcPr>
            <w:tcW w:type="dxa" w:w="2484"/>
            <w:vAlign w:val="center"/>
            <w:shd w:fill="F3F3F3"/>
          </w:tcPr>
          <w:p>
            <w:pPr>
              <w:spacing w:after="0"/>
            </w:pPr>
            <w:r/>
            <w:r>
              <w:rPr>
                <w:rFonts w:ascii="Arial" w:hAnsi="Arial"/>
                <w:b w:val="0"/>
                <w:color w:val="222222"/>
                <w:sz w:val="17"/>
              </w:rPr>
              <w:t>Weekly</w:t>
            </w:r>
          </w:p>
        </w:tc>
        <w:tc>
          <w:tcPr>
            <w:tcW w:type="dxa" w:w="2484"/>
            <w:vAlign w:val="center"/>
            <w:shd w:fill="F3F3F3"/>
          </w:tcPr>
          <w:p>
            <w:pPr>
              <w:spacing w:after="0"/>
            </w:pPr>
            <w:r/>
            <w:r>
              <w:rPr>
                <w:rFonts w:ascii="Arial" w:hAnsi="Arial"/>
                <w:b w:val="0"/>
                <w:color w:val="222222"/>
                <w:sz w:val="17"/>
              </w:rPr>
              <w:t>Primary commercial-quality metric.</w:t>
            </w:r>
          </w:p>
        </w:tc>
      </w:tr>
      <w:tr>
        <w:trPr>
          <w:cantSplit/>
        </w:trPr>
        <w:tc>
          <w:tcPr>
            <w:tcW w:type="dxa" w:w="2484"/>
            <w:vAlign w:val="center"/>
          </w:tcPr>
          <w:p>
            <w:pPr>
              <w:spacing w:after="0"/>
            </w:pPr>
            <w:r/>
            <w:r>
              <w:rPr>
                <w:rFonts w:ascii="Arial" w:hAnsi="Arial"/>
                <w:b w:val="0"/>
                <w:color w:val="222222"/>
                <w:sz w:val="17"/>
              </w:rPr>
              <w:t>Content-assisted conversion</w:t>
            </w:r>
          </w:p>
        </w:tc>
        <w:tc>
          <w:tcPr>
            <w:tcW w:type="dxa" w:w="2484"/>
            <w:vAlign w:val="center"/>
          </w:tcPr>
          <w:p>
            <w:pPr>
              <w:spacing w:after="0"/>
            </w:pPr>
            <w:r/>
            <w:r>
              <w:rPr>
                <w:rFonts w:ascii="Arial" w:hAnsi="Arial"/>
                <w:b w:val="0"/>
                <w:color w:val="222222"/>
                <w:sz w:val="17"/>
              </w:rPr>
              <w:t>Shows which guides influence enquiries.</w:t>
            </w:r>
          </w:p>
        </w:tc>
        <w:tc>
          <w:tcPr>
            <w:tcW w:type="dxa" w:w="2484"/>
            <w:vAlign w:val="center"/>
          </w:tcPr>
          <w:p>
            <w:pPr>
              <w:spacing w:after="0"/>
            </w:pPr>
            <w:r/>
            <w:r>
              <w:rPr>
                <w:rFonts w:ascii="Arial" w:hAnsi="Arial"/>
                <w:b w:val="0"/>
                <w:color w:val="222222"/>
                <w:sz w:val="17"/>
              </w:rPr>
              <w:t>Monthly</w:t>
            </w:r>
          </w:p>
        </w:tc>
        <w:tc>
          <w:tcPr>
            <w:tcW w:type="dxa" w:w="2484"/>
            <w:vAlign w:val="center"/>
          </w:tcPr>
          <w:p>
            <w:pPr>
              <w:spacing w:after="0"/>
            </w:pPr>
            <w:r/>
            <w:r>
              <w:rPr>
                <w:rFonts w:ascii="Arial" w:hAnsi="Arial"/>
                <w:b w:val="0"/>
                <w:color w:val="222222"/>
                <w:sz w:val="17"/>
              </w:rPr>
              <w:t>Content ROI.</w:t>
            </w:r>
          </w:p>
        </w:tc>
      </w:tr>
      <w:tr>
        <w:trPr>
          <w:cantSplit/>
        </w:trPr>
        <w:tc>
          <w:tcPr>
            <w:tcW w:type="dxa" w:w="2484"/>
            <w:vAlign w:val="center"/>
            <w:shd w:fill="F3F3F3"/>
          </w:tcPr>
          <w:p>
            <w:pPr>
              <w:spacing w:after="0"/>
            </w:pPr>
            <w:r/>
            <w:r>
              <w:rPr>
                <w:rFonts w:ascii="Arial" w:hAnsi="Arial"/>
                <w:b w:val="0"/>
                <w:color w:val="222222"/>
                <w:sz w:val="17"/>
              </w:rPr>
              <w:t>Proof asset usage</w:t>
            </w:r>
          </w:p>
        </w:tc>
        <w:tc>
          <w:tcPr>
            <w:tcW w:type="dxa" w:w="2484"/>
            <w:vAlign w:val="center"/>
            <w:shd w:fill="F3F3F3"/>
          </w:tcPr>
          <w:p>
            <w:pPr>
              <w:spacing w:after="0"/>
            </w:pPr>
            <w:r/>
            <w:r>
              <w:rPr>
                <w:rFonts w:ascii="Arial" w:hAnsi="Arial"/>
                <w:b w:val="0"/>
                <w:color w:val="222222"/>
                <w:sz w:val="17"/>
              </w:rPr>
              <w:t>Measures whether students and prospects actually use case studies, trainer pages and outcomes.</w:t>
            </w:r>
          </w:p>
        </w:tc>
        <w:tc>
          <w:tcPr>
            <w:tcW w:type="dxa" w:w="2484"/>
            <w:vAlign w:val="center"/>
            <w:shd w:fill="F3F3F3"/>
          </w:tcPr>
          <w:p>
            <w:pPr>
              <w:spacing w:after="0"/>
            </w:pPr>
            <w:r/>
            <w:r>
              <w:rPr>
                <w:rFonts w:ascii="Arial" w:hAnsi="Arial"/>
                <w:b w:val="0"/>
                <w:color w:val="222222"/>
                <w:sz w:val="17"/>
              </w:rPr>
              <w:t>Monthly</w:t>
            </w:r>
          </w:p>
        </w:tc>
        <w:tc>
          <w:tcPr>
            <w:tcW w:type="dxa" w:w="2484"/>
            <w:vAlign w:val="center"/>
            <w:shd w:fill="F3F3F3"/>
          </w:tcPr>
          <w:p>
            <w:pPr>
              <w:spacing w:after="0"/>
            </w:pPr>
            <w:r/>
            <w:r>
              <w:rPr>
                <w:rFonts w:ascii="Arial" w:hAnsi="Arial"/>
                <w:b w:val="0"/>
                <w:color w:val="222222"/>
                <w:sz w:val="17"/>
              </w:rPr>
              <w:t>Trust effectiveness.</w:t>
            </w:r>
          </w:p>
        </w:tc>
      </w:tr>
      <w:tr>
        <w:trPr>
          <w:cantSplit/>
        </w:trPr>
        <w:tc>
          <w:tcPr>
            <w:tcW w:type="dxa" w:w="2484"/>
            <w:vAlign w:val="center"/>
          </w:tcPr>
          <w:p>
            <w:pPr>
              <w:spacing w:after="0"/>
            </w:pPr>
            <w:r/>
            <w:r>
              <w:rPr>
                <w:rFonts w:ascii="Arial" w:hAnsi="Arial"/>
                <w:b w:val="0"/>
                <w:color w:val="222222"/>
                <w:sz w:val="17"/>
              </w:rPr>
              <w:t>Reel-to-owned traffic</w:t>
            </w:r>
          </w:p>
        </w:tc>
        <w:tc>
          <w:tcPr>
            <w:tcW w:type="dxa" w:w="2484"/>
            <w:vAlign w:val="center"/>
          </w:tcPr>
          <w:p>
            <w:pPr>
              <w:spacing w:after="0"/>
            </w:pPr>
            <w:r/>
            <w:r>
              <w:rPr>
                <w:rFonts w:ascii="Arial" w:hAnsi="Arial"/>
                <w:b w:val="0"/>
                <w:color w:val="222222"/>
                <w:sz w:val="17"/>
              </w:rPr>
              <w:t>Measures whether social content moves demand to searchable assets.</w:t>
            </w:r>
          </w:p>
        </w:tc>
        <w:tc>
          <w:tcPr>
            <w:tcW w:type="dxa" w:w="2484"/>
            <w:vAlign w:val="center"/>
          </w:tcPr>
          <w:p>
            <w:pPr>
              <w:spacing w:after="0"/>
            </w:pPr>
            <w:r/>
            <w:r>
              <w:rPr>
                <w:rFonts w:ascii="Arial" w:hAnsi="Arial"/>
                <w:b w:val="0"/>
                <w:color w:val="222222"/>
                <w:sz w:val="17"/>
              </w:rPr>
              <w:t>Weekly</w:t>
            </w:r>
          </w:p>
        </w:tc>
        <w:tc>
          <w:tcPr>
            <w:tcW w:type="dxa" w:w="2484"/>
            <w:vAlign w:val="center"/>
          </w:tcPr>
          <w:p>
            <w:pPr>
              <w:spacing w:after="0"/>
            </w:pPr>
            <w:r/>
            <w:r>
              <w:rPr>
                <w:rFonts w:ascii="Arial" w:hAnsi="Arial"/>
                <w:b w:val="0"/>
                <w:color w:val="222222"/>
                <w:sz w:val="17"/>
              </w:rPr>
              <w:t>Distribution efficiency.</w:t>
            </w:r>
          </w:p>
        </w:tc>
      </w:tr>
    </w:tbl>
    <w:p>
      <w:pPr>
        <w:spacing w:after="40"/>
      </w:pPr>
    </w:p>
    <w:p>
      <w:pPr>
        <w:pStyle w:val="Heading1"/>
      </w:pPr>
      <w:r>
        <w:t>14. 90-day execution roadmap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333333"/>
          </w:tcPr>
          <w:p>
            <w:pPr>
              <w:spacing w:after="0"/>
            </w:pPr>
            <w:r/>
            <w:r>
              <w:rPr>
                <w:rFonts w:ascii="Arial" w:hAnsi="Arial"/>
                <w:b/>
                <w:color w:val="FFFFFF"/>
                <w:sz w:val="18"/>
              </w:rPr>
              <w:t>Window</w:t>
            </w:r>
          </w:p>
        </w:tc>
        <w:tc>
          <w:tcPr>
            <w:tcW w:type="dxa" w:w="3312"/>
            <w:vAlign w:val="center"/>
            <w:shd w:fill="333333"/>
          </w:tcPr>
          <w:p>
            <w:pPr>
              <w:spacing w:after="0"/>
            </w:pPr>
            <w:r/>
            <w:r>
              <w:rPr>
                <w:rFonts w:ascii="Arial" w:hAnsi="Arial"/>
                <w:b/>
                <w:color w:val="FFFFFF"/>
                <w:sz w:val="18"/>
              </w:rPr>
              <w:t>Actions</w:t>
            </w:r>
          </w:p>
        </w:tc>
        <w:tc>
          <w:tcPr>
            <w:tcW w:type="dxa" w:w="3312"/>
            <w:vAlign w:val="center"/>
            <w:shd w:fill="333333"/>
          </w:tcPr>
          <w:p>
            <w:pPr>
              <w:spacing w:after="0"/>
            </w:pPr>
            <w:r/>
            <w:r>
              <w:rPr>
                <w:rFonts w:ascii="Arial" w:hAnsi="Arial"/>
                <w:b/>
                <w:color w:val="FFFFFF"/>
                <w:sz w:val="18"/>
              </w:rPr>
              <w:t>Success signal</w:t>
            </w:r>
          </w:p>
        </w:tc>
      </w:tr>
      <w:tr>
        <w:trPr>
          <w:cantSplit/>
        </w:trPr>
        <w:tc>
          <w:tcPr>
            <w:tcW w:type="dxa" w:w="3312"/>
            <w:vAlign w:val="center"/>
            <w:shd w:fill="F3F3F3"/>
          </w:tcPr>
          <w:p>
            <w:pPr>
              <w:spacing w:after="0"/>
            </w:pPr>
            <w:r/>
            <w:r>
              <w:rPr>
                <w:rFonts w:ascii="Arial" w:hAnsi="Arial"/>
                <w:b w:val="0"/>
                <w:color w:val="222222"/>
                <w:sz w:val="17"/>
              </w:rPr>
              <w:t>Days 0–14</w:t>
            </w:r>
          </w:p>
        </w:tc>
        <w:tc>
          <w:tcPr>
            <w:tcW w:type="dxa" w:w="3312"/>
            <w:vAlign w:val="center"/>
            <w:shd w:fill="F3F3F3"/>
          </w:tcPr>
          <w:p>
            <w:pPr>
              <w:spacing w:after="0"/>
            </w:pPr>
            <w:r/>
            <w:r>
              <w:rPr>
                <w:rFonts w:ascii="Arial" w:hAnsi="Arial"/>
                <w:b w:val="0"/>
                <w:color w:val="222222"/>
                <w:sz w:val="17"/>
              </w:rPr>
              <w:t>Canonicalize .com/.org; standardize entity facts; verify robots/sitemap/OAI-SearchBot; define placement terminology; audit top course pages for fee/duration/batch/eligibility gaps.</w:t>
            </w:r>
          </w:p>
        </w:tc>
        <w:tc>
          <w:tcPr>
            <w:tcW w:type="dxa" w:w="3312"/>
            <w:vAlign w:val="center"/>
            <w:shd w:fill="F3F3F3"/>
          </w:tcPr>
          <w:p>
            <w:pPr>
              <w:spacing w:after="0"/>
            </w:pPr>
            <w:r/>
            <w:r>
              <w:rPr>
                <w:rFonts w:ascii="Arial" w:hAnsi="Arial"/>
                <w:b w:val="0"/>
                <w:color w:val="222222"/>
                <w:sz w:val="17"/>
              </w:rPr>
              <w:t>Cleaner entity footprint + fewer high-intent information gaps.</w:t>
            </w:r>
          </w:p>
        </w:tc>
      </w:tr>
      <w:tr>
        <w:trPr>
          <w:cantSplit/>
        </w:trPr>
        <w:tc>
          <w:tcPr>
            <w:tcW w:type="dxa" w:w="3312"/>
            <w:vAlign w:val="center"/>
          </w:tcPr>
          <w:p>
            <w:pPr>
              <w:spacing w:after="0"/>
            </w:pPr>
            <w:r/>
            <w:r>
              <w:rPr>
                <w:rFonts w:ascii="Arial" w:hAnsi="Arial"/>
                <w:b w:val="0"/>
                <w:color w:val="222222"/>
                <w:sz w:val="17"/>
              </w:rPr>
              <w:t>Days 15–45</w:t>
            </w:r>
          </w:p>
        </w:tc>
        <w:tc>
          <w:tcPr>
            <w:tcW w:type="dxa" w:w="3312"/>
            <w:vAlign w:val="center"/>
          </w:tcPr>
          <w:p>
            <w:pPr>
              <w:spacing w:after="0"/>
            </w:pPr>
            <w:r/>
            <w:r>
              <w:rPr>
                <w:rFonts w:ascii="Arial" w:hAnsi="Arial"/>
                <w:b w:val="0"/>
                <w:color w:val="222222"/>
                <w:sz w:val="17"/>
              </w:rPr>
              <w:t>Launch 4 flagship hubs; trainer directory; 2 detailed student case studies; structured data where applicable; connect Job Talk reels to owned guides.</w:t>
            </w:r>
          </w:p>
        </w:tc>
        <w:tc>
          <w:tcPr>
            <w:tcW w:type="dxa" w:w="3312"/>
            <w:vAlign w:val="center"/>
          </w:tcPr>
          <w:p>
            <w:pPr>
              <w:spacing w:after="0"/>
            </w:pPr>
            <w:r/>
            <w:r>
              <w:rPr>
                <w:rFonts w:ascii="Arial" w:hAnsi="Arial"/>
                <w:b w:val="0"/>
                <w:color w:val="222222"/>
                <w:sz w:val="17"/>
              </w:rPr>
              <w:t>Growth in indexed topic coverage, engagement and qualified content traffic.</w:t>
            </w:r>
          </w:p>
        </w:tc>
      </w:tr>
      <w:tr>
        <w:trPr>
          <w:cantSplit/>
        </w:trPr>
        <w:tc>
          <w:tcPr>
            <w:tcW w:type="dxa" w:w="3312"/>
            <w:vAlign w:val="center"/>
            <w:shd w:fill="F3F3F3"/>
          </w:tcPr>
          <w:p>
            <w:pPr>
              <w:spacing w:after="0"/>
            </w:pPr>
            <w:r/>
            <w:r>
              <w:rPr>
                <w:rFonts w:ascii="Arial" w:hAnsi="Arial"/>
                <w:b w:val="0"/>
                <w:color w:val="222222"/>
                <w:sz w:val="17"/>
              </w:rPr>
              <w:t>Days 46–90</w:t>
            </w:r>
          </w:p>
        </w:tc>
        <w:tc>
          <w:tcPr>
            <w:tcW w:type="dxa" w:w="3312"/>
            <w:vAlign w:val="center"/>
            <w:shd w:fill="F3F3F3"/>
          </w:tcPr>
          <w:p>
            <w:pPr>
              <w:spacing w:after="0"/>
            </w:pPr>
            <w:r/>
            <w:r>
              <w:rPr>
                <w:rFonts w:ascii="Arial" w:hAnsi="Arial"/>
                <w:b w:val="0"/>
                <w:color w:val="222222"/>
                <w:sz w:val="17"/>
              </w:rPr>
              <w:t>Publish local skills report; comparison/decision pages; expand independent mentions; refresh generic articles with original examples; start monthly AI-search benchmark.</w:t>
            </w:r>
          </w:p>
        </w:tc>
        <w:tc>
          <w:tcPr>
            <w:tcW w:type="dxa" w:w="3312"/>
            <w:vAlign w:val="center"/>
            <w:shd w:fill="F3F3F3"/>
          </w:tcPr>
          <w:p>
            <w:pPr>
              <w:spacing w:after="0"/>
            </w:pPr>
            <w:r/>
            <w:r>
              <w:rPr>
                <w:rFonts w:ascii="Arial" w:hAnsi="Arial"/>
                <w:b w:val="0"/>
                <w:color w:val="222222"/>
                <w:sz w:val="17"/>
              </w:rPr>
              <w:t>Higher non-brand visibility, stronger branded search and more defensible AI citations/mentions.</w:t>
            </w:r>
          </w:p>
        </w:tc>
      </w:tr>
    </w:tbl>
    <w:p>
      <w:pPr>
        <w:spacing w:after="40"/>
      </w:pPr>
    </w:p>
    <w:p>
      <w:pPr>
        <w:pStyle w:val="Heading1"/>
      </w:pPr>
      <w:r>
        <w:t>15. Highest-priority copy decisions</w:t>
      </w:r>
    </w:p>
    <w:p/>
    <w:p>
      <w:pPr>
        <w:pStyle w:val="ListNumber"/>
        <w:spacing w:after="60"/>
      </w:pPr>
      <w:r>
        <w:t>Stop using “best/top/leading” as the primary reason to choose NetTech. Treat it as optional language, not the proposition.</w:t>
      </w:r>
    </w:p>
    <w:p>
      <w:pPr>
        <w:pStyle w:val="ListNumber"/>
        <w:spacing w:after="60"/>
      </w:pPr>
      <w:r>
        <w:t>Turn “placement assistance” into a defined product with visible steps, eligibility, support scope and dated outcomes.</w:t>
      </w:r>
    </w:p>
    <w:p>
      <w:pPr>
        <w:pStyle w:val="ListNumber"/>
        <w:spacing w:after="60"/>
      </w:pPr>
      <w:r>
        <w:t>Make course pages operational: current fee/range, duration, schedule, mode, eligibility, modules, projects, tools, trainer, certification and support.</w:t>
      </w:r>
    </w:p>
    <w:p>
      <w:pPr>
        <w:pStyle w:val="ListNumber"/>
        <w:spacing w:after="60"/>
      </w:pPr>
      <w:r>
        <w:t>Create proof at the moment of decision, not in a separate testimonial island.</w:t>
      </w:r>
    </w:p>
    <w:p>
      <w:pPr>
        <w:pStyle w:val="ListNumber"/>
        <w:spacing w:after="60"/>
      </w:pPr>
      <w:r>
        <w:t>Use real first-party expertise to become less interchangeable: trainer insights, student projects, local learner research and transparent program changes.</w:t>
      </w:r>
    </w:p>
    <w:p>
      <w:pPr>
        <w:pStyle w:val="ListNumber"/>
        <w:spacing w:after="60"/>
      </w:pPr>
      <w:r>
        <w:t>Make the brand easier for search and AI systems to identify by eliminating domain, contact and entity inconsistencies.</w:t>
      </w:r>
    </w:p>
    <w:p>
      <w:pPr>
        <w:pStyle w:val="Heading1"/>
      </w:pPr>
      <w:r>
        <w:t>Sources and evidence</w:t>
      </w:r>
    </w:p>
    <w:p>
      <w:r>
        <w:t>Internal uploaded sources</w:t>
      </w:r>
    </w:p>
    <w:p>
      <w:pPr>
        <w:spacing w:after="80"/>
      </w:pPr>
      <w:r>
        <w:rPr>
          <w:sz w:val="18"/>
        </w:rPr>
        <w:t>[A] NetTech India | AI Search Visibility &amp; AEO/GEO Audit, 10 Sep 2026. Uploaded source used for current-state audit, entity assessment, search-demand gaps, competitor observations and roadmap.</w:t>
      </w:r>
    </w:p>
    <w:p>
      <w:pPr>
        <w:spacing w:after="80"/>
      </w:pPr>
      <w:r>
        <w:rPr>
          <w:sz w:val="18"/>
        </w:rPr>
        <w:t>[B] NetTech India Content Strategy &amp; AI Search Growth Plan. Uploaded source used for content pillars, topic-cluster architecture, backlog, 12-week editorial plan, 60/30/10 mix and measurement framework.</w:t>
      </w:r>
    </w:p>
    <w:p>
      <w:pPr>
        <w:spacing w:after="80"/>
      </w:pPr>
      <w:r>
        <w:rPr>
          <w:sz w:val="18"/>
        </w:rPr>
        <w:t>[C] User-provided copywriting framework, version 2.0.2. Used for copy principles, section structure and CTA guidance.</w:t>
      </w:r>
    </w:p>
    <w:p>
      <w:r>
        <w:t>Web sources</w:t>
      </w:r>
    </w:p>
    <w:p>
      <w:pPr>
        <w:spacing w:after="80"/>
      </w:pPr>
      <w:r>
        <w:rPr>
          <w:rFonts w:ascii="Arial" w:hAnsi="Arial"/>
          <w:sz w:val="18"/>
        </w:rPr>
        <w:t>[1]. FITA Academy, Data Analytics Course in Mumbai</w:t>
      </w:r>
      <w:r>
        <w:t xml:space="preserve"> </w:t>
      </w:r>
      <w:hyperlink r:id="rId10">
        <w:r>
          <w:rPr>
            <w:color w:val="2F5597"/>
            <w:u w:val="single"/>
          </w:rPr>
          <w:t>https://www.fita.in/data-analytics-course-in-mumbai/</w:t>
        </w:r>
      </w:hyperlink>
    </w:p>
    <w:p>
      <w:pPr>
        <w:spacing w:after="80"/>
      </w:pPr>
      <w:r>
        <w:rPr>
          <w:rFonts w:ascii="Arial" w:hAnsi="Arial"/>
          <w:sz w:val="18"/>
        </w:rPr>
        <w:t>[2]. Awdiz, Data Analytics Course in Thane; Awdiz, AI Course in Mumbai</w:t>
      </w:r>
      <w:r>
        <w:t xml:space="preserve"> </w:t>
      </w:r>
      <w:hyperlink r:id="rId11">
        <w:r>
          <w:rPr>
            <w:color w:val="2F5597"/>
            <w:u w:val="single"/>
          </w:rPr>
          <w:t>https://www.awdiz.in/data-analytics-course-in-thane ; https://www.awdiz.in/ai-course-in-mumbai</w:t>
        </w:r>
      </w:hyperlink>
    </w:p>
    <w:p>
      <w:pPr>
        <w:spacing w:after="80"/>
      </w:pPr>
      <w:r>
        <w:rPr>
          <w:rFonts w:ascii="Arial" w:hAnsi="Arial"/>
          <w:sz w:val="18"/>
        </w:rPr>
        <w:t>[3]. SevenMentor, Data Analytics Classes in Thane</w:t>
      </w:r>
      <w:r>
        <w:t xml:space="preserve"> </w:t>
      </w:r>
      <w:hyperlink r:id="rId12">
        <w:r>
          <w:rPr>
            <w:color w:val="2F5597"/>
            <w:u w:val="single"/>
          </w:rPr>
          <w:t>https://www.sevenmentor.com/data-analytics-classes-in-thane</w:t>
        </w:r>
      </w:hyperlink>
    </w:p>
    <w:p>
      <w:pPr>
        <w:spacing w:after="80"/>
      </w:pPr>
      <w:r>
        <w:rPr>
          <w:rFonts w:ascii="Arial" w:hAnsi="Arial"/>
          <w:sz w:val="18"/>
        </w:rPr>
        <w:t>[4]. IIDE, Artificial Intelligence Course in Mumbai / AI Courses</w:t>
      </w:r>
      <w:r>
        <w:t xml:space="preserve"> </w:t>
      </w:r>
      <w:hyperlink r:id="rId13">
        <w:r>
          <w:rPr>
            <w:color w:val="2F5597"/>
            <w:u w:val="single"/>
          </w:rPr>
          <w:t>https://iide.co/ai-courses/mumbai/ ; https://iide.co/ai-courses/</w:t>
        </w:r>
      </w:hyperlink>
    </w:p>
    <w:p>
      <w:pPr>
        <w:spacing w:after="80"/>
      </w:pPr>
      <w:r>
        <w:rPr>
          <w:rFonts w:ascii="Arial" w:hAnsi="Arial"/>
          <w:sz w:val="18"/>
        </w:rPr>
        <w:t>[5]. Collegedunia, Nettech India Thane Google Reviews aggregation</w:t>
      </w:r>
      <w:r>
        <w:t xml:space="preserve"> </w:t>
      </w:r>
      <w:hyperlink r:id="rId14">
        <w:r>
          <w:rPr>
            <w:color w:val="2F5597"/>
            <w:u w:val="single"/>
          </w:rPr>
          <w:t>https://collegedunia.com/institute/1280-nettech-india-thane/google-reviews</w:t>
        </w:r>
      </w:hyperlink>
    </w:p>
    <w:p>
      <w:pPr>
        <w:spacing w:after="80"/>
      </w:pPr>
      <w:r>
        <w:rPr>
          <w:rFonts w:ascii="Arial" w:hAnsi="Arial"/>
          <w:sz w:val="18"/>
        </w:rPr>
        <w:t>[6]. Justdial, NetTech India Thane reviews</w:t>
      </w:r>
      <w:r>
        <w:t xml:space="preserve"> </w:t>
      </w:r>
      <w:hyperlink r:id="rId15">
        <w:r>
          <w:rPr>
            <w:color w:val="2F5597"/>
            <w:u w:val="single"/>
          </w:rPr>
          <w:t>https://www.justdial.com/Thane/NetTech-India-Opposite-ICICI-Bank-ATM-Thane-West/022PXX22-XX22-151207124417-W3U1_BZDET/reviews</w:t>
        </w:r>
      </w:hyperlink>
    </w:p>
    <w:p>
      <w:pPr>
        <w:spacing w:after="80"/>
      </w:pPr>
      <w:r>
        <w:rPr>
          <w:rFonts w:ascii="Arial" w:hAnsi="Arial"/>
          <w:sz w:val="18"/>
        </w:rPr>
        <w:t>[7]. ConsumerComplaints.in, public complaint concerning NetTech India</w:t>
      </w:r>
      <w:r>
        <w:t xml:space="preserve"> </w:t>
      </w:r>
      <w:hyperlink r:id="rId16">
        <w:r>
          <w:rPr>
            <w:color w:val="2F5597"/>
            <w:u w:val="single"/>
          </w:rPr>
          <w:t>https://www.consumercomplaints.in/net-tech-india-institute-course-of-data-analytics-and-data-scientiest-c3522599</w:t>
        </w:r>
      </w:hyperlink>
    </w:p>
    <w:p>
      <w:pPr>
        <w:spacing w:after="80"/>
      </w:pPr>
      <w:r>
        <w:rPr>
          <w:rFonts w:ascii="Arial" w:hAnsi="Arial"/>
          <w:sz w:val="18"/>
        </w:rPr>
        <w:t>[8]. NetTech India, About Us</w:t>
      </w:r>
      <w:r>
        <w:t xml:space="preserve"> </w:t>
      </w:r>
      <w:hyperlink r:id="rId17">
        <w:r>
          <w:rPr>
            <w:color w:val="2F5597"/>
            <w:u w:val="single"/>
          </w:rPr>
          <w:t>https://www.nettechindia.com/about-us</w:t>
        </w:r>
      </w:hyperlink>
    </w:p>
    <w:p>
      <w:pPr>
        <w:spacing w:after="80"/>
      </w:pPr>
      <w:r>
        <w:rPr>
          <w:rFonts w:ascii="Arial" w:hAnsi="Arial"/>
          <w:sz w:val="18"/>
        </w:rPr>
        <w:t>[9]. NetTech India, LinkedIn company profile</w:t>
      </w:r>
      <w:r>
        <w:t xml:space="preserve"> </w:t>
      </w:r>
      <w:hyperlink r:id="rId18">
        <w:r>
          <w:rPr>
            <w:color w:val="2F5597"/>
            <w:u w:val="single"/>
          </w:rPr>
          <w:t>https://in.linkedin.com/company/nettechindiainmumbai1</w:t>
        </w:r>
      </w:hyperlink>
    </w:p>
    <w:p>
      <w:pPr>
        <w:spacing w:after="80"/>
      </w:pPr>
      <w:r>
        <w:rPr>
          <w:rFonts w:ascii="Arial" w:hAnsi="Arial"/>
          <w:sz w:val="18"/>
        </w:rPr>
        <w:t>[10]. NetTech India, Placements | Student Success Stories</w:t>
      </w:r>
      <w:r>
        <w:t xml:space="preserve"> </w:t>
      </w:r>
      <w:hyperlink r:id="rId19">
        <w:r>
          <w:rPr>
            <w:color w:val="2F5597"/>
            <w:u w:val="single"/>
          </w:rPr>
          <w:t>https://www.nettechindia.com/placements</w:t>
        </w:r>
      </w:hyperlink>
    </w:p>
    <w:p>
      <w:pPr>
        <w:spacing w:after="80"/>
      </w:pPr>
      <w:r>
        <w:rPr>
          <w:rFonts w:ascii="Arial" w:hAnsi="Arial"/>
          <w:sz w:val="18"/>
        </w:rPr>
        <w:t>[11]. NetTech India, homepage</w:t>
      </w:r>
      <w:r>
        <w:t xml:space="preserve"> </w:t>
      </w:r>
      <w:hyperlink r:id="rId20">
        <w:r>
          <w:rPr>
            <w:color w:val="2F5597"/>
            <w:u w:val="single"/>
          </w:rPr>
          <w:t>https://www.nettechindia.com/</w:t>
        </w:r>
      </w:hyperlink>
    </w:p>
    <w:p>
      <w:pPr>
        <w:spacing w:after="80"/>
      </w:pPr>
      <w:r>
        <w:rPr>
          <w:rFonts w:ascii="Arial" w:hAnsi="Arial"/>
          <w:sz w:val="18"/>
        </w:rPr>
        <w:t>[12]. NetTech India, Data Analytics Course with AI</w:t>
      </w:r>
      <w:r>
        <w:t xml:space="preserve"> </w:t>
      </w:r>
      <w:hyperlink r:id="rId21">
        <w:r>
          <w:rPr>
            <w:color w:val="2F5597"/>
            <w:u w:val="single"/>
          </w:rPr>
          <w:t>https://www.nettechindia.com/data-analytics-course</w:t>
        </w:r>
      </w:hyperlink>
    </w:p>
    <w:p>
      <w:pPr>
        <w:spacing w:after="80"/>
      </w:pPr>
      <w:r>
        <w:rPr>
          <w:rFonts w:ascii="Arial" w:hAnsi="Arial"/>
          <w:sz w:val="18"/>
        </w:rPr>
        <w:t>[13]. NetTech India, Advanced Data Science Course with AI Skills</w:t>
      </w:r>
      <w:r>
        <w:t xml:space="preserve"> </w:t>
      </w:r>
      <w:hyperlink r:id="rId22">
        <w:r>
          <w:rPr>
            <w:color w:val="2F5597"/>
            <w:u w:val="single"/>
          </w:rPr>
          <w:t>https://www.nettechindia.com/data-science-course</w:t>
        </w:r>
      </w:hyperlink>
    </w:p>
    <w:p>
      <w:pPr>
        <w:spacing w:after="80"/>
      </w:pPr>
      <w:r>
        <w:rPr>
          <w:rFonts w:ascii="Arial" w:hAnsi="Arial"/>
          <w:sz w:val="18"/>
        </w:rPr>
        <w:t>[14]. NetTech India, Advanced Certification Program in Artificial Intelligence</w:t>
      </w:r>
      <w:r>
        <w:t xml:space="preserve"> </w:t>
      </w:r>
      <w:hyperlink r:id="rId23">
        <w:r>
          <w:rPr>
            <w:color w:val="2F5597"/>
            <w:u w:val="single"/>
          </w:rPr>
          <w:t>https://www.nettechindia.com/artificial-intelligence-course</w:t>
        </w:r>
      </w:hyperlink>
    </w:p>
    <w:p>
      <w:pPr>
        <w:spacing w:after="80"/>
      </w:pPr>
      <w:r>
        <w:rPr>
          <w:rFonts w:ascii="Arial" w:hAnsi="Arial"/>
          <w:sz w:val="18"/>
        </w:rPr>
        <w:t>[15]. Google Search Central, Optimizing your website for generative AI features on Google Search</w:t>
      </w:r>
      <w:r>
        <w:t xml:space="preserve"> </w:t>
      </w:r>
      <w:hyperlink r:id="rId24">
        <w:r>
          <w:rPr>
            <w:color w:val="2F5597"/>
            <w:u w:val="single"/>
          </w:rPr>
          <w:t>https://developers.google.com/search/docs/fundamentals/ai-optimization-guide</w:t>
        </w:r>
      </w:hyperlink>
    </w:p>
    <w:p>
      <w:pPr>
        <w:spacing w:after="80"/>
      </w:pPr>
      <w:r>
        <w:rPr>
          <w:rFonts w:ascii="Arial" w:hAnsi="Arial"/>
          <w:sz w:val="18"/>
        </w:rPr>
        <w:t>[16]. OpenAI Help Center, Publishers and Developers - FAQ</w:t>
      </w:r>
      <w:r>
        <w:t xml:space="preserve"> </w:t>
      </w:r>
      <w:hyperlink r:id="rId25">
        <w:r>
          <w:rPr>
            <w:color w:val="2F5597"/>
            <w:u w:val="single"/>
          </w:rPr>
          <w:t>https://help.openai.com/en/articles/12627856</w:t>
        </w:r>
      </w:hyperlink>
    </w:p>
    <w:p>
      <w:pPr>
        <w:spacing w:after="80"/>
      </w:pPr>
      <w:r>
        <w:rPr>
          <w:rFonts w:ascii="Arial" w:hAnsi="Arial"/>
          <w:sz w:val="18"/>
        </w:rPr>
        <w:t>[17]. NetTech India .org, About Us / Contact pages and overlapping course footprint</w:t>
      </w:r>
      <w:r>
        <w:t xml:space="preserve"> </w:t>
      </w:r>
      <w:hyperlink r:id="rId26">
        <w:r>
          <w:rPr>
            <w:color w:val="2F5597"/>
            <w:u w:val="single"/>
          </w:rPr>
          <w:t>https://www.nettechindia.org/about-us ; https://www.nettechindia.org/contact-us</w:t>
        </w:r>
      </w:hyperlink>
    </w:p>
    <w:p>
      <w:pPr>
        <w:spacing w:after="80"/>
      </w:pPr>
      <w:r>
        <w:rPr>
          <w:rFonts w:ascii="Arial" w:hAnsi="Arial"/>
          <w:sz w:val="18"/>
        </w:rPr>
        <w:t>[18]. Google Search Central Blog, Search Generative AI performance reports in Search Console, 3 Jun 2026</w:t>
      </w:r>
      <w:r>
        <w:t xml:space="preserve"> </w:t>
      </w:r>
      <w:hyperlink r:id="rId27">
        <w:r>
          <w:rPr>
            <w:color w:val="2F5597"/>
            <w:u w:val="single"/>
          </w:rPr>
          <w:t>https://developers.google.com/search/blog/2026/06/gen-ai-performance-reports</w:t>
        </w:r>
      </w:hyperlink>
    </w:p>
    <w:p>
      <w:pPr>
        <w:spacing w:after="80"/>
      </w:pPr>
      <w:r>
        <w:rPr>
          <w:rFonts w:ascii="Arial" w:hAnsi="Arial"/>
          <w:sz w:val="18"/>
        </w:rPr>
        <w:t>[19]. Google Search Central, Organization structured data</w:t>
      </w:r>
      <w:r>
        <w:t xml:space="preserve"> </w:t>
      </w:r>
      <w:hyperlink r:id="rId28">
        <w:r>
          <w:rPr>
            <w:color w:val="2F5597"/>
            <w:u w:val="single"/>
          </w:rPr>
          <w:t>https://developers.google.com/search/docs/appearance/structured-data/organization</w:t>
        </w:r>
      </w:hyperlink>
    </w:p>
    <w:p>
      <w:pPr>
        <w:spacing w:after="80"/>
      </w:pPr>
      <w:r>
        <w:rPr>
          <w:rFonts w:ascii="Arial" w:hAnsi="Arial"/>
          <w:sz w:val="18"/>
        </w:rPr>
        <w:t>[20]. Google Search Central, Local Business structured data</w:t>
      </w:r>
      <w:r>
        <w:t xml:space="preserve"> </w:t>
      </w:r>
      <w:hyperlink r:id="rId29">
        <w:r>
          <w:rPr>
            <w:color w:val="2F5597"/>
            <w:u w:val="single"/>
          </w:rPr>
          <w:t>https://developers.google.com/search/docs/appearance/structured-data/local-business</w:t>
        </w:r>
      </w:hyperlink>
    </w:p>
    <w:p>
      <w:pPr>
        <w:spacing w:after="80"/>
      </w:pPr>
      <w:r>
        <w:rPr>
          <w:rFonts w:ascii="Arial" w:hAnsi="Arial"/>
          <w:sz w:val="18"/>
        </w:rPr>
        <w:t>[21]. Google Search Central, Course list structured data</w:t>
      </w:r>
      <w:r>
        <w:t xml:space="preserve"> </w:t>
      </w:r>
      <w:hyperlink r:id="rId30">
        <w:r>
          <w:rPr>
            <w:color w:val="2F5597"/>
            <w:u w:val="single"/>
          </w:rPr>
          <w:t>https://developers.google.com/search/docs/appearance/structured-data/course</w:t>
        </w:r>
      </w:hyperlink>
    </w:p>
    <w:p>
      <w:r>
        <w:rPr>
          <w:b/>
        </w:rPr>
        <w:t xml:space="preserve">Evidence note: </w:t>
      </w:r>
      <w:r>
        <w:t>Current web observations are time-sensitive. Competitive pages, ratings, batch schedules, pricing and social metrics can change. Public complaints and reviews are treated as reputation signals, not adjudicated facts. No reliable current ChatGPT citation rate for NetTech is claimed by this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 xml:space="preserve">NetTech India | Deep Web Research &amp; Copy Strategy |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ita.in/data-analytics-course-in-mumbai/" TargetMode="External"/><Relationship Id="rId11" Type="http://schemas.openxmlformats.org/officeDocument/2006/relationships/hyperlink" Target="https://www.awdiz.in/data-analytics-course-in-thane ; https://www.awdiz.in/ai-course-in-mumbai" TargetMode="External"/><Relationship Id="rId12" Type="http://schemas.openxmlformats.org/officeDocument/2006/relationships/hyperlink" Target="https://www.sevenmentor.com/data-analytics-classes-in-thane" TargetMode="External"/><Relationship Id="rId13" Type="http://schemas.openxmlformats.org/officeDocument/2006/relationships/hyperlink" Target="https://iide.co/ai-courses/mumbai/ ; https://iide.co/ai-courses/" TargetMode="External"/><Relationship Id="rId14" Type="http://schemas.openxmlformats.org/officeDocument/2006/relationships/hyperlink" Target="https://collegedunia.com/institute/1280-nettech-india-thane/google-reviews" TargetMode="External"/><Relationship Id="rId15" Type="http://schemas.openxmlformats.org/officeDocument/2006/relationships/hyperlink" Target="https://www.justdial.com/Thane/NetTech-India-Opposite-ICICI-Bank-ATM-Thane-West/022PXX22-XX22-151207124417-W3U1_BZDET/reviews" TargetMode="External"/><Relationship Id="rId16" Type="http://schemas.openxmlformats.org/officeDocument/2006/relationships/hyperlink" Target="https://www.consumercomplaints.in/net-tech-india-institute-course-of-data-analytics-and-data-scientiest-c3522599" TargetMode="External"/><Relationship Id="rId17" Type="http://schemas.openxmlformats.org/officeDocument/2006/relationships/hyperlink" Target="https://www.nettechindia.com/about-us" TargetMode="External"/><Relationship Id="rId18" Type="http://schemas.openxmlformats.org/officeDocument/2006/relationships/hyperlink" Target="https://in.linkedin.com/company/nettechindiainmumbai1" TargetMode="External"/><Relationship Id="rId19" Type="http://schemas.openxmlformats.org/officeDocument/2006/relationships/hyperlink" Target="https://www.nettechindia.com/placements" TargetMode="External"/><Relationship Id="rId20" Type="http://schemas.openxmlformats.org/officeDocument/2006/relationships/hyperlink" Target="https://www.nettechindia.com/" TargetMode="External"/><Relationship Id="rId21" Type="http://schemas.openxmlformats.org/officeDocument/2006/relationships/hyperlink" Target="https://www.nettechindia.com/data-analytics-course" TargetMode="External"/><Relationship Id="rId22" Type="http://schemas.openxmlformats.org/officeDocument/2006/relationships/hyperlink" Target="https://www.nettechindia.com/data-science-course" TargetMode="External"/><Relationship Id="rId23" Type="http://schemas.openxmlformats.org/officeDocument/2006/relationships/hyperlink" Target="https://www.nettechindia.com/artificial-intelligence-course" TargetMode="External"/><Relationship Id="rId24" Type="http://schemas.openxmlformats.org/officeDocument/2006/relationships/hyperlink" Target="https://developers.google.com/search/docs/fundamentals/ai-optimization-guide" TargetMode="External"/><Relationship Id="rId25" Type="http://schemas.openxmlformats.org/officeDocument/2006/relationships/hyperlink" Target="https://help.openai.com/en/articles/12627856" TargetMode="External"/><Relationship Id="rId26" Type="http://schemas.openxmlformats.org/officeDocument/2006/relationships/hyperlink" Target="https://www.nettechindia.org/about-us ; https://www.nettechindia.org/contact-us" TargetMode="External"/><Relationship Id="rId27" Type="http://schemas.openxmlformats.org/officeDocument/2006/relationships/hyperlink" Target="https://developers.google.com/search/blog/2026/06/gen-ai-performance-reports" TargetMode="External"/><Relationship Id="rId28" Type="http://schemas.openxmlformats.org/officeDocument/2006/relationships/hyperlink" Target="https://developers.google.com/search/docs/appearance/structured-data/organization" TargetMode="External"/><Relationship Id="rId29" Type="http://schemas.openxmlformats.org/officeDocument/2006/relationships/hyperlink" Target="https://developers.google.com/search/docs/appearance/structured-data/local-business" TargetMode="External"/><Relationship Id="rId30" Type="http://schemas.openxmlformats.org/officeDocument/2006/relationships/hyperlink" Target="https://developers.google.com/search/docs/appearance/structured-data/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