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42" w:rsidRDefault="00414F24" w:rsidP="00414F24">
      <w:pPr>
        <w:spacing w:after="0" w:line="720" w:lineRule="auto"/>
        <w:jc w:val="center"/>
        <w:rPr>
          <w:sz w:val="28"/>
        </w:rPr>
      </w:pPr>
      <w:r w:rsidRPr="00414F24">
        <w:rPr>
          <w:sz w:val="28"/>
        </w:rPr>
        <w:t>Ла</w:t>
      </w:r>
      <w:r>
        <w:rPr>
          <w:sz w:val="28"/>
        </w:rPr>
        <w:t>бораторная работа №4</w:t>
      </w:r>
    </w:p>
    <w:p w:rsidR="00414F24" w:rsidRDefault="00414F24" w:rsidP="00414F24">
      <w:pPr>
        <w:spacing w:after="0"/>
        <w:rPr>
          <w:sz w:val="28"/>
        </w:rPr>
      </w:pPr>
      <w:r>
        <w:rPr>
          <w:sz w:val="28"/>
        </w:rPr>
        <w:t>Интегрирование иррациональных функций</w:t>
      </w:r>
    </w:p>
    <w:p w:rsidR="00414F24" w:rsidRDefault="00414F24" w:rsidP="00414F24">
      <w:pPr>
        <w:spacing w:after="0" w:line="276" w:lineRule="auto"/>
        <w:ind w:firstLine="851"/>
        <w:contextualSpacing/>
        <w:rPr>
          <w:sz w:val="28"/>
        </w:rPr>
      </w:pPr>
      <w:r>
        <w:rPr>
          <w:sz w:val="28"/>
        </w:rPr>
        <w:t>Иррациональные функции не всегда интегрируются в элементарных функциях. В простейших случаях интегралы от иррациональных функций могут быть приведены к интегралам от рациональных функций при помощи следующих подстановок: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414F24" w:rsidTr="001F7284">
        <w:tc>
          <w:tcPr>
            <w:tcW w:w="4673" w:type="dxa"/>
          </w:tcPr>
          <w:p w:rsidR="00414F24" w:rsidRDefault="00414F24" w:rsidP="00414F24">
            <w:pPr>
              <w:spacing w:line="276" w:lineRule="auto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Интеграл</w:t>
            </w:r>
          </w:p>
        </w:tc>
        <w:tc>
          <w:tcPr>
            <w:tcW w:w="4820" w:type="dxa"/>
          </w:tcPr>
          <w:p w:rsidR="00414F24" w:rsidRDefault="00414F24" w:rsidP="00414F24">
            <w:pPr>
              <w:spacing w:line="276" w:lineRule="auto"/>
              <w:contextualSpacing/>
              <w:jc w:val="center"/>
              <w:rPr>
                <w:sz w:val="28"/>
              </w:rPr>
            </w:pPr>
            <w:r>
              <w:rPr>
                <w:sz w:val="28"/>
              </w:rPr>
              <w:t>Подстановка</w:t>
            </w:r>
          </w:p>
        </w:tc>
      </w:tr>
      <w:tr w:rsidR="00414F24" w:rsidRPr="001C5108" w:rsidTr="001F7284">
        <w:trPr>
          <w:trHeight w:val="3752"/>
        </w:trPr>
        <w:tc>
          <w:tcPr>
            <w:tcW w:w="4673" w:type="dxa"/>
          </w:tcPr>
          <w:p w:rsidR="00414F24" w:rsidRPr="000D1DB7" w:rsidRDefault="00414F24" w:rsidP="00414F24">
            <w:pPr>
              <w:spacing w:line="276" w:lineRule="auto"/>
              <w:contextualSpacing/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∫R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cx+ⅇ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hAnsi="Cambria Math"/>
                    <w:sz w:val="28"/>
                  </w:rPr>
                  <m:t>ⅆx</m:t>
                </m:r>
              </m:oMath>
            </m:oMathPara>
          </w:p>
          <w:p w:rsidR="000D1DB7" w:rsidRPr="000D1DB7" w:rsidRDefault="000D1DB7" w:rsidP="000D1DB7">
            <w:pPr>
              <w:spacing w:line="276" w:lineRule="auto"/>
              <w:contextualSpacing/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∫R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n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ax+b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cx+ⅇ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8"/>
                      </w:rPr>
                      <m:t>,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m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ax+b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cx+ⅇ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8"/>
                      </w:rPr>
                      <m:t>,...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ⅆx</m:t>
                </m:r>
              </m:oMath>
            </m:oMathPara>
          </w:p>
          <w:p w:rsidR="000D1DB7" w:rsidRPr="000D1DB7" w:rsidRDefault="000D1DB7" w:rsidP="000D1DB7">
            <w:pPr>
              <w:spacing w:line="276" w:lineRule="auto"/>
              <w:contextualSpacing/>
              <w:rPr>
                <w:rFonts w:eastAsiaTheme="minorEastAsia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</w:rPr>
                  <m:t>∫R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+bx+c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ⅆx</m:t>
                </m:r>
              </m:oMath>
            </m:oMathPara>
          </w:p>
          <w:p w:rsidR="000D1DB7" w:rsidRPr="00414F24" w:rsidRDefault="000D1DB7" w:rsidP="00414F24">
            <w:pPr>
              <w:spacing w:line="276" w:lineRule="auto"/>
              <w:contextualSpacing/>
              <w:rPr>
                <w:sz w:val="28"/>
              </w:rPr>
            </w:pPr>
          </w:p>
        </w:tc>
        <w:tc>
          <w:tcPr>
            <w:tcW w:w="4820" w:type="dxa"/>
          </w:tcPr>
          <w:p w:rsidR="00414F24" w:rsidRDefault="006430EF" w:rsidP="00414F24">
            <w:pPr>
              <w:spacing w:line="276" w:lineRule="auto"/>
              <w:contextualSpacing/>
              <w:rPr>
                <w:rFonts w:eastAsiaTheme="minorEastAsia"/>
                <w:sz w:val="28"/>
                <w:lang w:val="en-US"/>
              </w:rPr>
            </w:pP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ax+b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cx+ⅇ</m:t>
                      </m:r>
                    </m:den>
                  </m:f>
                </m:e>
              </m:rad>
            </m:oMath>
            <w:r w:rsidR="001C5108">
              <w:rPr>
                <w:rFonts w:eastAsiaTheme="minorEastAsia"/>
                <w:sz w:val="28"/>
                <w:lang w:val="en-US"/>
              </w:rPr>
              <w:t xml:space="preserve"> = t</w:t>
            </w:r>
          </w:p>
          <w:p w:rsidR="001C5108" w:rsidRDefault="006430EF" w:rsidP="00414F24">
            <w:pPr>
              <w:spacing w:line="276" w:lineRule="auto"/>
              <w:contextualSpacing/>
              <w:rPr>
                <w:rFonts w:eastAsiaTheme="minorEastAsia"/>
                <w:i/>
                <w:sz w:val="24"/>
              </w:rPr>
            </w:pP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r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ax+b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cx+ⅇ</m:t>
                      </m:r>
                    </m:den>
                  </m:f>
                </m:e>
              </m:rad>
            </m:oMath>
            <w:r w:rsidR="001C5108" w:rsidRPr="001C5108">
              <w:rPr>
                <w:rFonts w:eastAsiaTheme="minorEastAsia"/>
                <w:sz w:val="28"/>
              </w:rPr>
              <w:t xml:space="preserve"> = </w:t>
            </w:r>
            <w:r w:rsidR="001C5108">
              <w:rPr>
                <w:rFonts w:eastAsiaTheme="minorEastAsia"/>
                <w:sz w:val="28"/>
                <w:lang w:val="en-US"/>
              </w:rPr>
              <w:t>t</w:t>
            </w:r>
            <w:r w:rsidR="001C5108" w:rsidRPr="001C5108">
              <w:rPr>
                <w:rFonts w:eastAsiaTheme="minorEastAsia"/>
                <w:sz w:val="28"/>
              </w:rPr>
              <w:t xml:space="preserve">, </w:t>
            </w:r>
            <w:r w:rsidR="001C5108">
              <w:rPr>
                <w:rFonts w:eastAsiaTheme="minorEastAsia"/>
                <w:sz w:val="28"/>
                <w:lang w:val="en-US"/>
              </w:rPr>
              <w:t>r</w:t>
            </w:r>
            <w:r w:rsidR="001C5108" w:rsidRPr="001C5108">
              <w:rPr>
                <w:rFonts w:eastAsiaTheme="minorEastAsia"/>
                <w:sz w:val="28"/>
              </w:rPr>
              <w:t xml:space="preserve"> </w:t>
            </w:r>
            <w:r w:rsidR="001C5108" w:rsidRPr="001C5108">
              <w:rPr>
                <w:rFonts w:eastAsiaTheme="minorEastAsia"/>
                <w:i/>
                <w:sz w:val="24"/>
              </w:rPr>
              <w:t xml:space="preserve">– где наименьшее кратное чисел </w:t>
            </w:r>
            <w:r w:rsidR="001C5108" w:rsidRPr="001C5108">
              <w:rPr>
                <w:rFonts w:eastAsiaTheme="minorEastAsia"/>
                <w:i/>
                <w:sz w:val="24"/>
                <w:lang w:val="en-US"/>
              </w:rPr>
              <w:t>n</w:t>
            </w:r>
            <w:r w:rsidR="001C5108" w:rsidRPr="001C5108">
              <w:rPr>
                <w:rFonts w:eastAsiaTheme="minorEastAsia"/>
                <w:i/>
                <w:sz w:val="24"/>
              </w:rPr>
              <w:t xml:space="preserve">, </w:t>
            </w:r>
            <w:r w:rsidR="001C5108" w:rsidRPr="001C5108">
              <w:rPr>
                <w:rFonts w:eastAsiaTheme="minorEastAsia"/>
                <w:i/>
                <w:sz w:val="24"/>
                <w:lang w:val="en-US"/>
              </w:rPr>
              <w:t>m</w:t>
            </w:r>
            <w:r w:rsidR="001C5108" w:rsidRPr="001C5108">
              <w:rPr>
                <w:rFonts w:eastAsiaTheme="minorEastAsia"/>
                <w:i/>
                <w:sz w:val="24"/>
              </w:rPr>
              <w:t>…</w:t>
            </w:r>
          </w:p>
          <w:p w:rsidR="001C5108" w:rsidRDefault="001C5108" w:rsidP="00414F24">
            <w:pPr>
              <w:spacing w:line="276" w:lineRule="auto"/>
              <w:contextualSpacing/>
              <w:rPr>
                <w:i/>
                <w:sz w:val="24"/>
              </w:rPr>
            </w:pPr>
            <w:r w:rsidRPr="001C5108">
              <w:rPr>
                <w:i/>
                <w:sz w:val="24"/>
              </w:rPr>
              <w:t>Одно из четырёх подстановок Эйлера:</w:t>
            </w:r>
          </w:p>
          <w:p w:rsidR="001C5108" w:rsidRPr="001C5108" w:rsidRDefault="006430EF" w:rsidP="00414F24">
            <w:pPr>
              <w:spacing w:line="276" w:lineRule="auto"/>
              <w:contextualSpacing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+bx+c</m:t>
                    </m:r>
                  </m:e>
                </m:rad>
                <m:r>
                  <w:rPr>
                    <w:rFonts w:ascii="Cambria Math" w:hAnsi="Cambria Math"/>
                    <w:sz w:val="24"/>
                  </w:rPr>
                  <m:t>=t-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ax</m:t>
                    </m:r>
                  </m:e>
                </m:rad>
              </m:oMath>
            </m:oMathPara>
          </w:p>
          <w:p w:rsidR="001C5108" w:rsidRPr="001C5108" w:rsidRDefault="006430EF" w:rsidP="00414F24">
            <w:pPr>
              <w:spacing w:line="276" w:lineRule="auto"/>
              <w:contextualSpacing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+bx+c</m:t>
                    </m:r>
                  </m:e>
                </m:rad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t-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</m:rad>
              </m:oMath>
            </m:oMathPara>
          </w:p>
          <w:p w:rsidR="001C5108" w:rsidRPr="001C5108" w:rsidRDefault="006430EF" w:rsidP="00414F24">
            <w:pPr>
              <w:spacing w:line="276" w:lineRule="auto"/>
              <w:contextualSpacing/>
              <w:rPr>
                <w:i/>
                <w:sz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+bx+c</m:t>
                    </m:r>
                  </m:e>
                </m:rad>
                <m:r>
                  <w:rPr>
                    <w:rFonts w:ascii="Cambria Math" w:hAnsi="Cambria Math"/>
                    <w:sz w:val="24"/>
                  </w:rPr>
                  <m:t>=t(x - a)</m:t>
                </m:r>
              </m:oMath>
            </m:oMathPara>
          </w:p>
        </w:tc>
      </w:tr>
    </w:tbl>
    <w:p w:rsidR="001C5108" w:rsidRPr="001C5108" w:rsidRDefault="001C5108" w:rsidP="001C5108">
      <w:pPr>
        <w:spacing w:after="0" w:line="276" w:lineRule="auto"/>
        <w:contextualSpacing/>
        <w:jc w:val="left"/>
        <w:rPr>
          <w:rFonts w:eastAsiaTheme="minorEastAsia"/>
          <w:sz w:val="28"/>
        </w:rPr>
      </w:pPr>
      <w:bookmarkStart w:id="0" w:name="_GoBack"/>
      <w:bookmarkEnd w:id="0"/>
    </w:p>
    <w:p w:rsidR="001C5108" w:rsidRPr="001C5108" w:rsidRDefault="001C5108" w:rsidP="001C5108">
      <w:pPr>
        <w:spacing w:after="0" w:line="276" w:lineRule="auto"/>
        <w:contextualSpacing/>
        <w:jc w:val="left"/>
        <w:rPr>
          <w:rFonts w:eastAsiaTheme="minorEastAsia"/>
          <w:sz w:val="28"/>
        </w:rPr>
      </w:pPr>
    </w:p>
    <w:p w:rsidR="001C5108" w:rsidRPr="001C5108" w:rsidRDefault="001C5108" w:rsidP="001F7284">
      <w:pPr>
        <w:spacing w:after="0" w:line="276" w:lineRule="auto"/>
        <w:contextualSpacing/>
        <w:jc w:val="right"/>
        <w:rPr>
          <w:rFonts w:eastAsiaTheme="minorEastAsia"/>
          <w:sz w:val="28"/>
        </w:rPr>
      </w:pPr>
    </w:p>
    <w:p w:rsidR="001C5108" w:rsidRPr="001F7284" w:rsidRDefault="001F7284" w:rsidP="001F7284">
      <w:pPr>
        <w:tabs>
          <w:tab w:val="left" w:pos="4678"/>
        </w:tabs>
        <w:spacing w:after="0" w:line="276" w:lineRule="auto"/>
        <w:contextualSpacing/>
        <w:jc w:val="right"/>
        <w:rPr>
          <w:rFonts w:eastAsiaTheme="minorEastAsia"/>
          <w:sz w:val="28"/>
        </w:rPr>
      </w:pPr>
      <w:r w:rsidRPr="001F7284">
        <w:rPr>
          <w:rFonts w:eastAsiaTheme="minorEastAsia"/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Π=0 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%Π</m:t>
            </m:r>
          </m:num>
          <m:den>
            <m:r>
              <w:rPr>
                <w:rFonts w:ascii="Cambria Math" w:hAnsi="Cambria Math"/>
                <w:sz w:val="28"/>
              </w:rPr>
              <m:t>100</m:t>
            </m:r>
          </m:den>
        </m:f>
      </m:oMath>
      <w:r w:rsidRPr="001F7284">
        <w:rPr>
          <w:rFonts w:eastAsiaTheme="minorEastAsia"/>
          <w:sz w:val="28"/>
        </w:rPr>
        <w:t xml:space="preserve">                                                (4.1.7)</w:t>
      </w:r>
    </w:p>
    <w:p w:rsidR="001F7284" w:rsidRDefault="001F7284" w:rsidP="001F7284">
      <w:pPr>
        <w:tabs>
          <w:tab w:val="left" w:pos="4678"/>
        </w:tabs>
        <w:spacing w:after="0" w:line="276" w:lineRule="auto"/>
        <w:contextualSpacing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>П – премия, руб.;</w:t>
      </w:r>
    </w:p>
    <w:p w:rsidR="001F7284" w:rsidRDefault="001F7284" w:rsidP="001F7284">
      <w:pPr>
        <w:tabs>
          <w:tab w:val="left" w:pos="4678"/>
        </w:tabs>
        <w:spacing w:after="0" w:line="276" w:lineRule="auto"/>
        <w:contextualSpacing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>О – оклад, руб.;</w:t>
      </w:r>
    </w:p>
    <w:p w:rsidR="001F7284" w:rsidRDefault="001F7284" w:rsidP="001F7284">
      <w:pPr>
        <w:tabs>
          <w:tab w:val="left" w:pos="4678"/>
        </w:tabs>
        <w:spacing w:after="0" w:line="276" w:lineRule="auto"/>
        <w:contextualSpacing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>%П – процент от премии, руб.;</w:t>
      </w:r>
    </w:p>
    <w:p w:rsidR="001F7284" w:rsidRDefault="001F7284" w:rsidP="001F7284">
      <w:pPr>
        <w:tabs>
          <w:tab w:val="left" w:pos="4678"/>
        </w:tabs>
        <w:spacing w:after="0" w:line="276" w:lineRule="auto"/>
        <w:contextualSpacing/>
        <w:jc w:val="left"/>
        <w:rPr>
          <w:rFonts w:eastAsiaTheme="minorEastAsia"/>
          <w:sz w:val="28"/>
        </w:rPr>
      </w:pPr>
    </w:p>
    <w:p w:rsidR="001F7284" w:rsidRDefault="001F7284" w:rsidP="001F7284">
      <w:pPr>
        <w:tabs>
          <w:tab w:val="left" w:pos="4678"/>
        </w:tabs>
        <w:spacing w:after="0" w:line="276" w:lineRule="auto"/>
        <w:contextualSpacing/>
        <w:jc w:val="left"/>
        <w:rPr>
          <w:rFonts w:eastAsiaTheme="minorEastAsia"/>
          <w:sz w:val="28"/>
        </w:rPr>
      </w:pPr>
    </w:p>
    <w:p w:rsidR="001F7284" w:rsidRPr="001F7284" w:rsidRDefault="001F7284" w:rsidP="001F7284">
      <w:pPr>
        <w:tabs>
          <w:tab w:val="left" w:pos="4678"/>
        </w:tabs>
        <w:spacing w:after="0" w:line="276" w:lineRule="auto"/>
        <w:contextualSpacing/>
        <w:jc w:val="left"/>
        <w:rPr>
          <w:rFonts w:eastAsiaTheme="minorEastAsia"/>
          <w:sz w:val="28"/>
        </w:rPr>
      </w:pPr>
    </w:p>
    <w:p w:rsidR="001C5108" w:rsidRPr="001F7284" w:rsidRDefault="001C5108" w:rsidP="001C5108">
      <w:pPr>
        <w:spacing w:after="0" w:line="276" w:lineRule="auto"/>
        <w:contextualSpacing/>
        <w:jc w:val="left"/>
        <w:rPr>
          <w:sz w:val="28"/>
        </w:rPr>
      </w:pPr>
    </w:p>
    <w:sectPr w:rsidR="001C5108" w:rsidRPr="001F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24"/>
    <w:rsid w:val="000D1DB7"/>
    <w:rsid w:val="001C5108"/>
    <w:rsid w:val="001F7284"/>
    <w:rsid w:val="00206906"/>
    <w:rsid w:val="00414F24"/>
    <w:rsid w:val="006430EF"/>
    <w:rsid w:val="00767B42"/>
    <w:rsid w:val="00B316FC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43B55-CE09-4EF8-AB4E-D16F2D8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"/>
    <w:qFormat/>
    <w:rsid w:val="00B316FC"/>
    <w:pPr>
      <w:spacing w:line="480" w:lineRule="auto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4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2023-04-14T04:59:00Z</dcterms:created>
  <dcterms:modified xsi:type="dcterms:W3CDTF">2023-04-14T04:59:00Z</dcterms:modified>
</cp:coreProperties>
</file>