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№1</w:t>
      </w:r>
    </w:p>
    <w:p>
      <w:pPr>
        <w:jc w:val="center"/>
      </w:pPr>
      <w:r>
        <w:rPr>
          <w:b/>
        </w:rPr>
        <w:t>Фаза 1. Выбор концепции программного проекта</w:t>
      </w:r>
    </w:p>
    <w:p>
      <w:pPr>
        <w:jc w:val="center"/>
      </w:pPr>
      <w:r>
        <w:t>Команда: Александр Ф., Алексей К., Александр Л.</w:t>
      </w:r>
    </w:p>
    <w:p>
      <w:pPr>
        <w:pStyle w:val="Heading1"/>
      </w:pPr>
      <w:r>
        <w:t>1. Концепции программного проекта</w:t>
      </w:r>
    </w:p>
    <w:p>
      <w:pPr>
        <w:ind w:firstLine="709"/>
        <w:jc w:val="both"/>
      </w:pPr>
      <w:r>
        <w:t>На общем созвоне команда сформулировала пять концепций программного продукта. Перед созвоном каждый участник подготовил по две идеи; из шести предложений одно было отброшено как слишком близкое к другому, остальные пять приняты в качестве альтернатив:</w:t>
      </w:r>
    </w:p>
    <w:p>
      <w:pPr>
        <w:pStyle w:val="ListBullet"/>
        <w:jc w:val="left"/>
      </w:pPr>
      <w:r>
        <w:rPr>
          <w:b/>
        </w:rPr>
        <w:t xml:space="preserve">Сплит — </w:t>
      </w:r>
      <w:r>
        <w:t>веб-приложение для учёта и разделения общих расходов в группе (поездки, съёмная квартира, мероприятия). Пользователи создают группу, вносят траты, а сервис считает, кто кому сколько должен, и предлагает минимальный набор переводов для погашения долгов.</w:t>
      </w:r>
    </w:p>
    <w:p>
      <w:pPr>
        <w:pStyle w:val="ListBullet"/>
        <w:jc w:val="left"/>
      </w:pPr>
      <w:r>
        <w:rPr>
          <w:b/>
        </w:rPr>
        <w:t xml:space="preserve">Репетиторы — </w:t>
      </w:r>
      <w:r>
        <w:t>онлайн-платформа поиска репетиторов с расписанием занятий и онлайн-оплатой. Маркетплейс с профилями преподавателей, отзывами, календарём свободных слотов, онлайн-оплатой занятий и видеосвязью.</w:t>
      </w:r>
    </w:p>
    <w:p>
      <w:pPr>
        <w:pStyle w:val="ListBullet"/>
        <w:jc w:val="left"/>
      </w:pPr>
      <w:r>
        <w:rPr>
          <w:b/>
        </w:rPr>
        <w:t xml:space="preserve">Аудитории — </w:t>
      </w:r>
      <w:r>
        <w:t>веб-сервис бронирования учебных аудиторий и переговорных комнат университета. Просмотр занятости аудиторий в реальном времени, бронирование на время, подтверждение администратором, интеграция с расписанием вуза.</w:t>
      </w:r>
    </w:p>
    <w:p>
      <w:pPr>
        <w:pStyle w:val="ListBullet"/>
        <w:jc w:val="left"/>
      </w:pPr>
      <w:r>
        <w:rPr>
          <w:b/>
        </w:rPr>
        <w:t xml:space="preserve">AR-гид — </w:t>
      </w:r>
      <w:r>
        <w:t>мобильное приложение с AR-экскурсиями по историческому центру города. При наведении камеры на здание приложение показывает историческую справку, 3D-реконструкции и маршруты экскурсий.</w:t>
      </w:r>
    </w:p>
    <w:p>
      <w:pPr>
        <w:pStyle w:val="ListBullet"/>
        <w:jc w:val="left"/>
      </w:pPr>
      <w:r>
        <w:rPr>
          <w:b/>
        </w:rPr>
        <w:t xml:space="preserve">Рецепты — </w:t>
      </w:r>
      <w:r>
        <w:t>мобильное приложение подбора рецептов по имеющимся дома продуктам. Пользователь отмечает продукты, которые есть дома, и получает рецепты, которые можно приготовить без похода в магазин; есть избранное и список покупок.</w:t>
      </w:r>
    </w:p>
    <w:p>
      <w:pPr>
        <w:pStyle w:val="Heading1"/>
      </w:pPr>
      <w:r>
        <w:t>2. Критерии оценки</w:t>
      </w:r>
    </w:p>
    <w:p>
      <w:pPr>
        <w:ind w:firstLine="709"/>
        <w:jc w:val="both"/>
      </w:pPr>
      <w:r>
        <w:t>Для сравнения концепций выбраны пять критериев. Все они сформулированы как «чем больше, тем лучше» (для стоимости используется обратная формулировка — экономичность), поэтому в обоих методах их можно обрабатывать единообразно:</w:t>
      </w:r>
    </w:p>
    <w:p>
      <w:pPr>
        <w:pStyle w:val="ListBullet"/>
        <w:jc w:val="left"/>
      </w:pPr>
      <w:r>
        <w:rPr>
          <w:b/>
        </w:rPr>
        <w:t xml:space="preserve">Экономичность — </w:t>
      </w:r>
      <w:r>
        <w:t>затраты на разработку, инфраструктуру и сопровождение (чем выше оценка, тем дешевле проект).</w:t>
      </w:r>
    </w:p>
    <w:p>
      <w:pPr>
        <w:pStyle w:val="ListBullet"/>
        <w:jc w:val="left"/>
      </w:pPr>
      <w:r>
        <w:rPr>
          <w:b/>
        </w:rPr>
        <w:t xml:space="preserve">Актуальность — </w:t>
      </w:r>
      <w:r>
        <w:t>востребованность продукта у целевой аудитории в данный момент.</w:t>
      </w:r>
    </w:p>
    <w:p>
      <w:pPr>
        <w:pStyle w:val="ListBullet"/>
        <w:jc w:val="left"/>
      </w:pPr>
      <w:r>
        <w:rPr>
          <w:b/>
        </w:rPr>
        <w:t xml:space="preserve">Потенциал развития — </w:t>
      </w:r>
      <w:r>
        <w:t>возможность масштабирования, добавления функций и монетизации.</w:t>
      </w:r>
    </w:p>
    <w:p>
      <w:pPr>
        <w:pStyle w:val="ListBullet"/>
        <w:jc w:val="left"/>
      </w:pPr>
      <w:r>
        <w:rPr>
          <w:b/>
        </w:rPr>
        <w:t xml:space="preserve">Простота реализации — </w:t>
      </w:r>
      <w:r>
        <w:t>техническая сложность и время до работающего MVP.</w:t>
      </w:r>
    </w:p>
    <w:p>
      <w:pPr>
        <w:pStyle w:val="ListBullet"/>
        <w:jc w:val="left"/>
      </w:pPr>
      <w:r>
        <w:rPr>
          <w:b/>
        </w:rPr>
        <w:t xml:space="preserve">Соответствие компетенциям — </w:t>
      </w:r>
      <w:r>
        <w:t>насколько стек технологий и предметная область знакомы команде.</w:t>
      </w:r>
    </w:p>
    <w:p>
      <w:pPr>
        <w:ind w:firstLine="709"/>
        <w:jc w:val="both"/>
      </w:pPr>
      <w:r>
        <w:t>Первые три критерия характеризуют сам продукт, последние два — предстоящую работу команды над ним. Критерий «Соответствие компетенциям» добавлен потому, что срок работы над учебным проектом ограничен семестром и знакомый стек напрямую влияет на шансы довести проект до рабочего состояния.</w:t>
      </w:r>
    </w:p>
    <w:p>
      <w:pPr>
        <w:pStyle w:val="Heading1"/>
      </w:pPr>
      <w:r>
        <w:t>3. Организация экспертной оценки</w:t>
      </w:r>
    </w:p>
    <w:p>
      <w:pPr>
        <w:ind w:firstLine="709"/>
        <w:jc w:val="both"/>
      </w:pPr>
      <w:r>
        <w:t>Экспертами выступили все три участника команды: Александр Ф., Алексей К., Александр Л. Оценки выставлялись независимо (каждый заполнял свою таблицу, не видя оценок остальных), после чего результаты сводились в общие таблицы. Для каждого метода собран отдельный набор оценок:</w:t>
      </w:r>
    </w:p>
    <w:p>
      <w:pPr>
        <w:pStyle w:val="ListBullet"/>
        <w:jc w:val="left"/>
      </w:pPr>
      <w:r>
        <w:rPr>
          <w:b/>
        </w:rPr>
        <w:t xml:space="preserve">TOPSIS: </w:t>
      </w:r>
      <w:r>
        <w:t>каждый эксперт выставил лингвистическую оценку каждой из пяти альтернатив по каждому из пяти критериев (25 оценок) и оценил важность самих критериев (5 оценок).</w:t>
      </w:r>
    </w:p>
    <w:p>
      <w:pPr>
        <w:pStyle w:val="ListBullet"/>
        <w:jc w:val="left"/>
      </w:pPr>
      <w:r>
        <w:rPr>
          <w:b/>
        </w:rPr>
        <w:t xml:space="preserve">МАИ: </w:t>
      </w:r>
      <w:r>
        <w:t>каждый эксперт заполнил шесть матриц парных сравнений 5×5 — одну для критериев и по одной для альтернатив по каждому критерию (по 10 суждений в матрице, 60 суждений на эксперта).</w:t>
      </w:r>
    </w:p>
    <w:p>
      <w:pPr>
        <w:ind w:firstLine="709"/>
        <w:jc w:val="both"/>
      </w:pPr>
      <w:r>
        <w:t>Расчёты выполнены в Excel формулами: в файлах phase1/topsis.xlsx и phase1/mai.xlsx исходные оценки выделены жёлтым, и при их изменении все промежуточные и итоговые значения пересчитываются автоматически.</w:t>
      </w:r>
    </w:p>
    <w:p>
      <w:pPr>
        <w:pStyle w:val="Heading1"/>
      </w:pPr>
      <w:r>
        <w:t>4. Нечёткий коллективный TOPSIS</w:t>
      </w:r>
    </w:p>
    <w:p>
      <w:pPr>
        <w:ind w:firstLine="709"/>
        <w:jc w:val="both"/>
      </w:pPr>
      <w:r>
        <w:t>Метод TOPSIS (Technique for Order Preference by Similarity to Ideal Solution) выбирает альтернативу, которая одновременно ближе всего к идеально позитивному решению A⁺ и дальше всего от идеально негативного A⁻. В нечёткой версии оценки задаются треугольными нечёткими числами (l, m, u) — пессимистичным, наиболее ожидаемым и оптимистичным значением, — что позволяет учесть неуверенность эксперта: он называет не одну цифру, а диапазон.</w:t>
      </w:r>
    </w:p>
    <w:p>
      <w:pPr>
        <w:pStyle w:val="Heading2"/>
      </w:pPr>
      <w:r>
        <w:t>4.1. Шкала оценок</w:t>
      </w:r>
    </w:p>
    <w:p>
      <w:pPr>
        <w:keepNext/>
        <w:spacing w:after="40"/>
        <w:jc w:val="left"/>
      </w:pPr>
      <w:r>
        <w:rPr>
          <w:i/>
          <w:sz w:val="24"/>
        </w:rPr>
        <w:t>Таблица 1 — Лингвистическая шкала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Лингвистическая оценка</w:t>
            </w:r>
          </w:p>
        </w:tc>
        <w:tc>
          <w:tcPr>
            <w:tcW w:type="dxa" w:w="3402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Нечёткое число (l, m, u)</w:t>
            </w:r>
          </w:p>
        </w:tc>
      </w:tr>
      <w:tr>
        <w:tc>
          <w:tcPr>
            <w:tcW w:type="dxa" w:w="39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Очень низкий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(1, 1, 3)</w:t>
            </w:r>
          </w:p>
        </w:tc>
      </w:tr>
      <w:tr>
        <w:tc>
          <w:tcPr>
            <w:tcW w:type="dxa" w:w="39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Низкий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(1, 3, 5)</w:t>
            </w:r>
          </w:p>
        </w:tc>
      </w:tr>
      <w:tr>
        <w:tc>
          <w:tcPr>
            <w:tcW w:type="dxa" w:w="39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Средний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(3, 5, 7)</w:t>
            </w:r>
          </w:p>
        </w:tc>
      </w:tr>
      <w:tr>
        <w:tc>
          <w:tcPr>
            <w:tcW w:type="dxa" w:w="39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Высокий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(5, 7, 9)</w:t>
            </w:r>
          </w:p>
        </w:tc>
      </w:tr>
      <w:tr>
        <w:tc>
          <w:tcPr>
            <w:tcW w:type="dxa" w:w="39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Очень высокий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(7, 9, 9)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Использована пятиуровневая шкала: по сравнению с трёхуровневой («низкий/средний/высокий») она позволяет отделить, например, просто сложный проект от проекта, который команда, скорее всего, не потянет.</w:t>
      </w:r>
    </w:p>
    <w:p>
      <w:pPr>
        <w:pStyle w:val="Heading2"/>
      </w:pPr>
      <w:r>
        <w:t>4.2. Экспертные оценки</w:t>
      </w:r>
    </w:p>
    <w:p>
      <w:pPr>
        <w:keepNext/>
        <w:spacing w:after="40"/>
        <w:jc w:val="left"/>
      </w:pPr>
      <w:r>
        <w:rPr>
          <w:i/>
          <w:sz w:val="24"/>
        </w:rPr>
        <w:t>Таблица 2 — Оценки экспертов (Александр Ф. / Алексей К. / Александр Л.); ОН — очень низкий, Н — низкий, С — средний, В — высокий, ОВ — очень высокий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Альтернатива</w:t>
            </w:r>
          </w:p>
        </w:tc>
        <w:tc>
          <w:tcPr>
            <w:tcW w:type="dxa" w:w="155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Экономичность</w:t>
            </w:r>
          </w:p>
        </w:tc>
        <w:tc>
          <w:tcPr>
            <w:tcW w:type="dxa" w:w="155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Актуальность</w:t>
            </w:r>
          </w:p>
        </w:tc>
        <w:tc>
          <w:tcPr>
            <w:tcW w:type="dxa" w:w="155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Потенциал развития</w:t>
            </w:r>
          </w:p>
        </w:tc>
        <w:tc>
          <w:tcPr>
            <w:tcW w:type="dxa" w:w="155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Простота реализации</w:t>
            </w:r>
          </w:p>
        </w:tc>
        <w:tc>
          <w:tcPr>
            <w:tcW w:type="dxa" w:w="155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Соответствие компетенциям</w:t>
            </w:r>
          </w:p>
        </w:tc>
      </w:tr>
      <w:tr>
        <w:tc>
          <w:tcPr>
            <w:tcW w:type="dxa" w:w="155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Сплит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В/ОВ/В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В/С/В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С/С/В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ОВ/В/В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ОВ/В/ОВ</w:t>
            </w:r>
          </w:p>
        </w:tc>
      </w:tr>
      <w:tr>
        <w:tc>
          <w:tcPr>
            <w:tcW w:type="dxa" w:w="155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Репетиторы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Н/Н/ОН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ОВ/В/В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ОВ/ОВ/В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Н/Н/Н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С/С/Н</w:t>
            </w:r>
          </w:p>
        </w:tc>
      </w:tr>
      <w:tr>
        <w:tc>
          <w:tcPr>
            <w:tcW w:type="dxa" w:w="155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Аудитории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С/В/С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С/С/В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Н/Н/С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С/В/С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В/В/С</w:t>
            </w:r>
          </w:p>
        </w:tc>
      </w:tr>
      <w:tr>
        <w:tc>
          <w:tcPr>
            <w:tcW w:type="dxa" w:w="155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AR-гид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ОН/Н/ОН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С/В/С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В/ОВ/В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ОН/ОН/Н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Н/ОН/Н</w:t>
            </w:r>
          </w:p>
        </w:tc>
      </w:tr>
      <w:tr>
        <w:tc>
          <w:tcPr>
            <w:tcW w:type="dxa" w:w="155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Рецепты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В/В/ОВ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Н/С/Н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С/Н/С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В/В/ОВ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С/В/С</w:t>
            </w:r>
          </w:p>
        </w:tc>
      </w:tr>
      <w:tr>
        <w:tc>
          <w:tcPr>
            <w:tcW w:type="dxa" w:w="155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Важность критерия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В/ОВ/В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С/В/С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С/Н/С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ОВ/В/В</w:t>
            </w:r>
          </w:p>
        </w:tc>
        <w:tc>
          <w:tcPr>
            <w:tcW w:type="dxa" w:w="155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В/В/ОВ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Мнения экспертов согласованы: ни в одной ячейке оценки не расходятся больше чем на один уровень шкалы. При этом полностью единогласных ячеек всего 1 из 25 — эксперты действительно оценивали независимо, а не сверялись друг с другом. Расхождения в один уровень нечёткий TOPSIS учитывает автоматически — они расширяют диапазон агрегированного нечёткого числа. «Сплит» по экономичности, простоте и соответствию компетенциям получил только высокие и очень высокие оценки от всех трёх экспертов.</w:t>
      </w:r>
    </w:p>
    <w:p>
      <w:pPr>
        <w:pStyle w:val="Heading2"/>
      </w:pPr>
      <w:r>
        <w:t>4.3. Порядок расчёта</w:t>
      </w:r>
    </w:p>
    <w:p>
      <w:pPr>
        <w:jc w:val="both"/>
      </w:pPr>
      <w:r>
        <w:t>Этап 1. Лингвистические оценки переводятся в нечёткие числа по таблице 1.</w:t>
      </w:r>
    </w:p>
    <w:p>
      <w:pPr>
        <w:jc w:val="both"/>
      </w:pPr>
      <w:r>
        <w:t>Этап 2. Оценки K = 3 экспертов агрегируются поэлементно: нижняя граница — минимум, среднее значение — среднее арифметическое, верхняя граница — максимум. Так же агрегируются и веса критериев:</w:t>
      </w:r>
    </w:p>
    <w:p>
      <w:pPr>
        <w:jc w:val="center"/>
      </w:pPr>
      <m:oMathPara>
        <m:oMath>
          <m:sSub>
            <m:e>
              <m:r>
                <m:t>l</m:t>
              </m:r>
            </m:e>
            <m:sub>
              <m:r>
                <m:t>ij</m:t>
              </m:r>
            </m:sub>
          </m:sSub>
          <m:r>
            <m:t>=</m:t>
          </m:r>
          <m:sSub>
            <m:e>
              <m:r>
                <m:t>min</m:t>
              </m:r>
            </m:e>
            <m:sub>
              <m:r>
                <m:t>k</m:t>
              </m:r>
            </m:sub>
          </m:sSub>
          <m:sSubSup>
            <m:e>
              <m:r>
                <m:t>l</m:t>
              </m:r>
            </m:e>
            <m:sub>
              <m:r>
                <m:t>ij</m:t>
              </m:r>
            </m:sub>
            <m:sup>
              <m:r>
                <m:t>k</m:t>
              </m:r>
            </m:sup>
          </m:sSubSup>
          <m:r>
            <m:t>,</m:t>
          </m:r>
          <m:sSub>
            <m:e>
              <m:r>
                <m:t>m</m:t>
              </m:r>
            </m:e>
            <m:sub>
              <m:r>
                <m:t>ij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k=1</m:t>
              </m:r>
            </m:sub>
            <m:sup>
              <m:r>
                <m:t>K</m:t>
              </m:r>
            </m:sup>
            <m:e>
              <m:sSubSup>
                <m:e>
                  <m:r>
                    <m:t>m</m:t>
                  </m:r>
                </m:e>
                <m:sub>
                  <m:r>
                    <m:t>ij</m:t>
                  </m:r>
                </m:sub>
                <m:sup>
                  <m:r>
                    <m:t>k</m:t>
                  </m:r>
                </m:sup>
              </m:sSubSup>
            </m:e>
          </m:nary>
          <m:r>
            <m:t>,</m:t>
          </m:r>
          <m:sSub>
            <m:e>
              <m:r>
                <m:t>u</m:t>
              </m:r>
            </m:e>
            <m:sub>
              <m:r>
                <m:t>ij</m:t>
              </m:r>
            </m:sub>
          </m:sSub>
          <m:r>
            <m:t>=</m:t>
          </m:r>
          <m:sSub>
            <m:e>
              <m:r>
                <m:t>max</m:t>
              </m:r>
            </m:e>
            <m:sub>
              <m:r>
                <m:t>k</m:t>
              </m:r>
            </m:sub>
          </m:sSub>
          <m:sSubSup>
            <m:e>
              <m:r>
                <m:t>u</m:t>
              </m:r>
            </m:e>
            <m:sub>
              <m:r>
                <m:t>ij</m:t>
              </m:r>
            </m:sub>
            <m:sup>
              <m:r>
                <m:t>k</m:t>
              </m:r>
            </m:sup>
          </m:sSubSup>
        </m:oMath>
      </m:oMathPara>
    </w:p>
    <w:p>
      <w:pPr>
        <w:keepNext/>
        <w:spacing w:after="40"/>
        <w:jc w:val="left"/>
      </w:pPr>
      <w:r>
        <w:rPr>
          <w:i/>
          <w:sz w:val="24"/>
        </w:rPr>
        <w:t>Таблица 3 — Агрегированные нечёткие веса критериев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3402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Агрегированный вес (l, m, u)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Экономичность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(5,00, 7,67, 9,00)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Актуальность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(3,00, 5,67, 9,00)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Потенциал развития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(1,00, 4,33, 7,00)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Простота реализации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(5,00, 7,67, 9,00)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Соответствие компетенциям</w:t>
            </w:r>
          </w:p>
        </w:tc>
        <w:tc>
          <w:tcPr>
            <w:tcW w:type="dxa" w:w="3402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(5,00, 7,67, 9,00)</w:t>
            </w:r>
          </w:p>
        </w:tc>
      </w:tr>
    </w:tbl>
    <w:p>
      <w:pPr>
        <w:spacing w:after="0"/>
      </w:pPr>
    </w:p>
    <w:p>
      <w:pPr>
        <w:jc w:val="both"/>
      </w:pPr>
      <w:r>
        <w:t>Этап 3. Нормализация: все критерии «выгодные», поэтому каждая компонента делится на максимальное u по критерию:</w:t>
      </w:r>
    </w:p>
    <w:p>
      <w:pPr>
        <w:jc w:val="center"/>
      </w:pPr>
      <m:oMathPara>
        <m:oMath>
          <m:sSub>
            <m:e>
              <m:limUpp>
                <m:e>
                  <m:r>
                    <m:t>r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ij</m:t>
              </m:r>
            </m:sub>
          </m:sSub>
          <m:r>
            <m:t>=</m:t>
          </m:r>
          <m:d>
            <m:dPr>
              <m:sepChr m:val=","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ij</m:t>
                      </m:r>
                    </m:sub>
                  </m:sSub>
                </m:num>
                <m:den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*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ij</m:t>
                      </m:r>
                    </m:sub>
                  </m:sSub>
                </m:num>
                <m:den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*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ij</m:t>
                      </m:r>
                    </m:sub>
                  </m:sSub>
                </m:num>
                <m:den>
                  <m:sSubSup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*</m:t>
                      </m:r>
                    </m:sup>
                  </m:sSubSup>
                </m:den>
              </m:f>
            </m:e>
          </m:d>
          <m:r>
            <m:t>,</m:t>
          </m:r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*</m:t>
              </m:r>
            </m:sup>
          </m:sSubSup>
          <m:r>
            <m:t>=</m:t>
          </m:r>
          <m:sSub>
            <m:e>
              <m:r>
                <m:t>max</m:t>
              </m:r>
            </m:e>
            <m:sub>
              <m:r>
                <m:t>i</m:t>
              </m:r>
            </m:sub>
          </m:sSub>
          <m:sSub>
            <m:e>
              <m:r>
                <m:t>u</m:t>
              </m:r>
            </m:e>
            <m:sub>
              <m:r>
                <m:t>ij</m:t>
              </m:r>
            </m:sub>
          </m:sSub>
        </m:oMath>
      </m:oMathPara>
    </w:p>
    <w:p>
      <w:pPr>
        <w:jc w:val="both"/>
      </w:pPr>
      <w:r>
        <w:t>Этап 4. Взвешивание и определение идеальных решений (покомпонентный максимум и минимум по альтернативам):</w:t>
      </w:r>
    </w:p>
    <w:p>
      <w:pPr>
        <w:jc w:val="center"/>
      </w:pPr>
      <m:oMathPara>
        <m:oMath>
          <m:sSub>
            <m:e>
              <m:limUpp>
                <m:e>
                  <m:r>
                    <m:t>v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ij</m:t>
              </m:r>
            </m:sub>
          </m:sSub>
          <m:r>
            <m:t>=</m:t>
          </m:r>
          <m:sSub>
            <m:e>
              <m:limUpp>
                <m:e>
                  <m:r>
                    <m:t>r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ij</m:t>
              </m:r>
            </m:sub>
          </m:sSub>
          <m:r>
            <m:t>⊗</m:t>
          </m:r>
          <m:sSub>
            <m:e>
              <m:limUpp>
                <m:e>
                  <m:r>
                    <m:t>w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j</m:t>
              </m:r>
            </m:sub>
          </m:sSub>
          <m:r>
            <m:t>,</m:t>
          </m:r>
          <m:sSup>
            <m:e>
              <m:r>
                <m:t>A</m:t>
              </m:r>
            </m:e>
            <m:sup>
              <m:r>
                <m:t>+</m:t>
              </m:r>
            </m:sup>
          </m:sSup>
          <m:r>
            <m:t>=</m:t>
          </m:r>
          <m:sSub>
            <m:e>
              <m:d>
                <m:dPr>
                  <m:sepChr m:val=""/>
                </m:dPr>
                <m:e>
                  <m:sSub>
                    <m:e>
                      <m:r>
                        <m:t>max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limUpp>
                        <m:e>
                          <m:r>
                            <m:t>v</m:t>
                          </m:r>
                        </m:e>
                        <m:lim>
                          <m:r>
                            <m:t>~</m:t>
                          </m:r>
                        </m:lim>
                      </m:limUpp>
                    </m:e>
                    <m:sub>
                      <m:r>
                        <m:t>ij</m:t>
                      </m:r>
                    </m:sub>
                  </m:sSub>
                </m:e>
              </m:d>
            </m:e>
            <m:sub>
              <m:r>
                <m:t>j</m:t>
              </m:r>
            </m:sub>
          </m:sSub>
          <m:r>
            <m:t>,</m:t>
          </m:r>
          <m:sSup>
            <m:e>
              <m:r>
                <m:t>A</m:t>
              </m:r>
            </m:e>
            <m:sup>
              <m:r>
                <m:t>−</m:t>
              </m:r>
            </m:sup>
          </m:sSup>
          <m:r>
            <m:t>=</m:t>
          </m:r>
          <m:sSub>
            <m:e>
              <m:d>
                <m:dPr>
                  <m:sepChr m:val=""/>
                </m:dPr>
                <m:e>
                  <m:sSub>
                    <m:e>
                      <m:r>
                        <m:t>min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limUpp>
                        <m:e>
                          <m:r>
                            <m:t>v</m:t>
                          </m:r>
                        </m:e>
                        <m:lim>
                          <m:r>
                            <m:t>~</m:t>
                          </m:r>
                        </m:lim>
                      </m:limUpp>
                    </m:e>
                    <m:sub>
                      <m:r>
                        <m:t>ij</m:t>
                      </m:r>
                    </m:sub>
                  </m:sSub>
                </m:e>
              </m:d>
            </m:e>
            <m:sub>
              <m:r>
                <m:t>j</m:t>
              </m:r>
            </m:sub>
          </m:sSub>
        </m:oMath>
      </m:oMathPara>
    </w:p>
    <w:p>
      <w:pPr>
        <w:jc w:val="both"/>
      </w:pPr>
      <w:r>
        <w:t>Этап 5. Расстояния между нечёткими числами считаются вершинным методом и суммируются по критериям:</w:t>
      </w:r>
    </w:p>
    <w:p>
      <w:pPr>
        <w:jc w:val="center"/>
      </w:pPr>
      <m:oMathPara>
        <m:oMath>
          <m:r>
            <m:t>d(</m:t>
          </m:r>
          <m:limUpp>
            <m:e>
              <m:r>
                <m:t>x</m:t>
              </m:r>
            </m:e>
            <m:lim>
              <m:r>
                <m:t>~</m:t>
              </m:r>
            </m:lim>
          </m:limUpp>
          <m:r>
            <m:t>,</m:t>
          </m:r>
          <m:limUpp>
            <m:e>
              <m:r>
                <m:t>y</m:t>
              </m:r>
            </m:e>
            <m:lim>
              <m:r>
                <m:t>~</m:t>
              </m:r>
            </m:lim>
          </m:limUpp>
          <m:r>
            <m:t>)=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</m:dPr>
                <m:e>
                  <m: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</m:t>
                  </m:r>
                  <m:r>
                    <m:t>(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rad>
        </m:oMath>
      </m:oMathPara>
    </w:p>
    <w:p>
      <w:pPr>
        <w:jc w:val="center"/>
      </w:pPr>
      <m:oMathPara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+</m:t>
              </m:r>
            </m:sup>
          </m:sSubSup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r>
                <m:t>d(</m:t>
              </m:r>
            </m:e>
          </m:nary>
          <m:sSub>
            <m:e>
              <m:limUpp>
                <m:e>
                  <m:r>
                    <m:t>v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ij</m:t>
              </m:r>
            </m:sub>
          </m:sSub>
          <m:r>
            <m:t>,</m:t>
          </m:r>
          <m:sSubSup>
            <m:e>
              <m:limUpp>
                <m:e>
                  <m:r>
                    <m:t>v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j</m:t>
              </m:r>
            </m:sub>
            <m:sup>
              <m:r>
                <m:t>+</m:t>
              </m:r>
            </m:sup>
          </m:sSubSup>
          <m:r>
            <m:t>),</m:t>
          </m:r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−</m:t>
              </m:r>
            </m:sup>
          </m:sSubSup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r>
                <m:t>d(</m:t>
              </m:r>
            </m:e>
          </m:nary>
          <m:sSub>
            <m:e>
              <m:limUpp>
                <m:e>
                  <m:r>
                    <m:t>v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ij</m:t>
              </m:r>
            </m:sub>
          </m:sSub>
          <m:r>
            <m:t>,</m:t>
          </m:r>
          <m:sSubSup>
            <m:e>
              <m:limUpp>
                <m:e>
                  <m:r>
                    <m:t>v</m:t>
                  </m:r>
                </m:e>
                <m:lim>
                  <m:r>
                    <m:t>~</m:t>
                  </m:r>
                </m:lim>
              </m:limUpp>
            </m:e>
            <m:sub>
              <m:r>
                <m:t>j</m:t>
              </m:r>
            </m:sub>
            <m:sup>
              <m:r>
                <m:t>−</m:t>
              </m:r>
            </m:sup>
          </m:sSubSup>
          <m:r>
            <m:t>)</m:t>
          </m:r>
        </m:oMath>
      </m:oMathPara>
    </w:p>
    <w:p>
      <w:pPr>
        <w:jc w:val="both"/>
      </w:pPr>
      <w:r>
        <w:t>Этап 6. Коэффициент относительной близости; чем он ближе к единице, тем лучше альтернатива:</w:t>
      </w:r>
    </w:p>
    <w:p>
      <w:pPr>
        <w:jc w:val="center"/>
      </w:pPr>
      <m:oMathPara>
        <m:oMath>
          <m:r>
            <m:t>C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−</m:t>
                  </m:r>
                </m:sup>
              </m:sSubSup>
            </m:num>
            <m:den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+</m:t>
                  </m:r>
                </m:sup>
              </m:sSubSup>
              <m:r>
                <m:t>+</m:t>
              </m:r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−</m:t>
                  </m:r>
                </m:sup>
              </m:sSubSup>
            </m:den>
          </m:f>
        </m:oMath>
      </m:oMathPara>
    </w:p>
    <w:p>
      <w:pPr>
        <w:pStyle w:val="Heading2"/>
      </w:pPr>
      <w:r>
        <w:t>4.4. Результаты</w:t>
      </w:r>
    </w:p>
    <w:p>
      <w:pPr>
        <w:keepNext/>
        <w:spacing w:after="40"/>
        <w:jc w:val="left"/>
      </w:pPr>
      <w:r>
        <w:rPr>
          <w:i/>
          <w:sz w:val="24"/>
        </w:rPr>
        <w:t>Таблица 4 — Результаты нечёткого TOPSIS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Альтернатива</w:t>
            </w:r>
          </w:p>
        </w:tc>
        <w:tc>
          <w:tcPr>
            <w:tcW w:type="dxa" w:w="1474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d⁺</w:t>
            </w:r>
          </w:p>
        </w:tc>
        <w:tc>
          <w:tcPr>
            <w:tcW w:type="dxa" w:w="1474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d⁻</w:t>
            </w:r>
          </w:p>
        </w:tc>
        <w:tc>
          <w:tcPr>
            <w:tcW w:type="dxa" w:w="1474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CCᵢ</w:t>
            </w:r>
          </w:p>
        </w:tc>
        <w:tc>
          <w:tcPr>
            <w:tcW w:type="dxa" w:w="1134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Ранг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Сплит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1,371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14,502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0,914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Рецепты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4,922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11,011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0,691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Аудитории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5,944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10,720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0,643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Репетиторы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9,840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6,109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0,383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AR-гид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12,890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2,870</w:t>
            </w:r>
          </w:p>
        </w:tc>
        <w:tc>
          <w:tcPr>
            <w:tcW w:type="dxa" w:w="147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0,182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«Сплит» с большим отрывом занимает первое место: CC = 0,914. По критериям «Экономичность», «Простота реализации», «Соответствие компетенциям» его расстояние до A⁺ равно нулю, то есть по ним он и есть идеальное решение. Небольшие отклонения от идеала есть только по актуальности (0,619) и потенциалу развития (0,752), причём оба этих критерия получили от экспертов наименьшие веса. Суммарное d⁺ у «Сплита» в 3,6 раза меньше, чем у ближайшего преследователя.</w:t>
      </w:r>
    </w:p>
    <w:p>
      <w:pPr>
        <w:ind w:firstLine="709"/>
        <w:jc w:val="both"/>
      </w:pPr>
      <w:r>
        <w:t>«Рецепты» (0,691) и «Аудитории» (0,643) образуют вторую группу. «Рецепты» так же дёшевы и просты, как «Сплит», но проигрывают по актуальности: рынок приложений с рецептами переполнен, и эксперты оценили его как «низкий»–«средний». «Аудитории» стабильно средние по всем критериям, без провалов, но и без сильных сторон.</w:t>
      </w:r>
    </w:p>
    <w:p>
      <w:pPr>
        <w:ind w:firstLine="709"/>
        <w:jc w:val="both"/>
      </w:pPr>
      <w:r>
        <w:t>«Репетиторы» (0,383) и «AR-гид» (0,182) — концепции с высоким потенциалом и актуальностью, которые проигрывают из-за стоимости и сложности: онлайн-оплата, видеосвязь и двусторонний маркетплейс у первых, AR-трекинг и 3D-контент у второго. Для команды из трёх человек на один семестр эти преимущества не компенсируют рисков.</w:t>
      </w:r>
    </w:p>
    <w:p>
      <w:pPr>
        <w:pStyle w:val="Heading1"/>
      </w:pPr>
      <w:r>
        <w:t>5. Чёткий коллективный МАИ</w:t>
      </w:r>
    </w:p>
    <w:p>
      <w:pPr>
        <w:ind w:firstLine="709"/>
        <w:jc w:val="both"/>
      </w:pPr>
      <w:r>
        <w:t>Метод анализа иерархий (МАИ, AHP Т. Саати) основан не на абсолютных оценках, а на парных сравнениях: эксперт отвечает на вопрос «какой из двух элементов предпочтительнее и во сколько раз?» по шкале от 1 до 9. Иерархия задачи трёхуровневая: цель (выбор концепции) → пять критериев → пять альтернатив.</w:t>
      </w:r>
    </w:p>
    <w:p>
      <w:pPr>
        <w:pStyle w:val="Heading2"/>
      </w:pPr>
      <w:r>
        <w:t>5.1. Порядок расчёта</w:t>
      </w:r>
    </w:p>
    <w:p>
      <w:pPr>
        <w:jc w:val="both"/>
      </w:pPr>
      <w:r>
        <w:t>Каждый эксперт k заполнил шесть матриц парных сравнений A⁽ᵏ⁾ (верхний треугольник; нижний — обратные величины). Коллективная матрица получена поэлементным средним геометрическим — в отличие от среднего арифметического оно сохраняет обратную симметричность матрицы (aⱼᵢ = 1/aᵢⱼ):</w:t>
      </w:r>
    </w:p>
    <w:p>
      <w:pPr>
        <w:jc w:val="center"/>
      </w:pPr>
      <m:oMathPara>
        <m:oMath>
          <m:sSub>
            <m:e>
              <m:r>
                <m:t>a</m:t>
              </m:r>
            </m:e>
            <m:sub>
              <m:r>
                <m:t>ij</m:t>
              </m:r>
            </m:sub>
          </m:sSub>
          <m:r>
            <m:t>=</m:t>
          </m:r>
          <m:sSup>
            <m:e>
              <m:d>
                <m:dPr>
                  <m:sepChr m:val=""/>
                </m:dPr>
                <m:e>
                  <m:nary>
                    <m:naryPr>
                      <m:chr m:val="∏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k=1</m:t>
                      </m:r>
                    </m:sub>
                    <m:sup>
                      <m:r>
                        <m:t>K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ij</m:t>
                          </m:r>
                        </m:sub>
                        <m:sup>
                          <m:d>
                            <m:dPr>
                              <m:sepChr m:val=""/>
                            </m:dPr>
                            <m:e>
                              <m:r>
                                <m:t>k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  <m:sup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sup>
          </m:sSup>
        </m:oMath>
      </m:oMathPara>
    </w:p>
    <w:p>
      <w:pPr>
        <w:jc w:val="both"/>
      </w:pPr>
      <w:r>
        <w:t>Вектор приоритетов — нормированные средние геометрические строк:</w:t>
      </w:r>
    </w:p>
    <w:p>
      <w:pPr>
        <w:jc w:val="center"/>
      </w:pPr>
      <m:oMathPara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sepChr m:val=""/>
                    </m:dPr>
                    <m:e>
                      <m:nary>
                        <m:naryPr>
                          <m:chr m:val="∏"/>
                          <m:limLoc m:val="subSup"/>
                          <m:grow m:val="1"/>
                          <m:subHide m:val="off"/>
                          <m:supHide m:val="off"/>
                        </m:naryPr>
                        <m:sub>
                          <m:r>
                            <m:t>j=1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</m:num>
            <m:den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sepChr m:val=""/>
                        </m:dPr>
                        <m:e>
                          <m:nary>
                            <m:naryPr>
                              <m:chr m:val="∏"/>
                              <m:limLoc m:val="subSup"/>
                              <m:grow m:val="1"/>
                              <m:subHide m:val="off"/>
                              <m:supHide m:val="off"/>
                            </m:naryPr>
                            <m:sub>
                              <m:r>
                                <m:t>j=1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p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sup>
                  </m:sSup>
                </m:e>
              </m:nary>
            </m:den>
          </m:f>
        </m:oMath>
      </m:oMathPara>
    </w:p>
    <w:p>
      <w:pPr>
        <w:jc w:val="both"/>
      </w:pPr>
      <w:r>
        <w:t>Согласованность проверяется через максимальное собственное число, индекс согласованности (ИС) и отношение согласованности (ОС); для n = 5 случайный индекс RI = 1,12, матрица считается согласованной при ОС ≤ 10 %:</w:t>
      </w:r>
    </w:p>
    <w:p>
      <w:pPr>
        <w:jc w:val="center"/>
      </w:pPr>
      <m:oMathPara>
        <m:oMath>
          <m:sSub>
            <m:e>
              <m:r>
                <m:t>λ</m:t>
              </m:r>
            </m:e>
            <m:sub>
              <m:r>
                <m:t>max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d>
                        <m:dPr>
                          <m:sepChr m:val=""/>
                        </m:dPr>
                        <m:e>
                          <m:r>
                            <m:t>A</m:t>
                          </m:r>
                          <m:r>
                            <m:t>w</m:t>
                          </m:r>
                        </m:e>
                      </m:d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t>,</m:t>
          </m:r>
          <m:r>
            <m:rPr>
              <m:sty m:val="p"/>
            </m:rPr>
            <m:t>ИС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max</m:t>
                  </m:r>
                </m:sub>
              </m:sSub>
              <m:r>
                <m:t>−n</m:t>
              </m:r>
            </m:num>
            <m:den>
              <m:r>
                <m:t>n−1</m:t>
              </m:r>
            </m:den>
          </m:f>
          <m:r>
            <m:t>,</m:t>
          </m:r>
          <m:r>
            <m:rPr>
              <m:sty m:val="p"/>
            </m:rPr>
            <m:t>ОС</m:t>
          </m:r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ИС</m:t>
              </m:r>
            </m:num>
            <m:den>
              <m:r>
                <m:t>RI</m:t>
              </m:r>
            </m:den>
          </m:f>
        </m:oMath>
      </m:oMathPara>
    </w:p>
    <w:p>
      <w:pPr>
        <w:jc w:val="both"/>
      </w:pPr>
      <w:r>
        <w:t>Глобальный вес альтернативы — свёртка её локальных приоритетов pᵢⱼ по критериям с весами критериев wⱼ:</w:t>
      </w:r>
    </w:p>
    <w:p>
      <w:pPr>
        <w:jc w:val="center"/>
      </w:pPr>
      <m:oMathPara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m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ij</m:t>
              </m:r>
            </m:sub>
          </m:sSub>
        </m:oMath>
      </m:oMathPara>
    </w:p>
    <w:p>
      <w:pPr>
        <w:pStyle w:val="Heading2"/>
      </w:pPr>
      <w:r>
        <w:t>5.2. Веса критериев</w:t>
      </w:r>
    </w:p>
    <w:p>
      <w:pPr>
        <w:keepNext/>
        <w:spacing w:after="40"/>
        <w:jc w:val="left"/>
      </w:pPr>
      <w:r>
        <w:rPr>
          <w:i/>
          <w:sz w:val="24"/>
        </w:rPr>
        <w:t>Таблица 5 — Коллективные веса критериев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2268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Вес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Экономичность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27,20 %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Соответствие компетенциям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22,01 %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Простота реализации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21,59 %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Актуальность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18,29 %</w:t>
            </w:r>
          </w:p>
        </w:tc>
      </w:tr>
      <w:tr>
        <w:tc>
          <w:tcPr>
            <w:tcW w:type="dxa" w:w="45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Потенциал развития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10,92 %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Три критерия, описывающие реализуемость проекта (экономичность, соответствие компетенциям и простота), вместе набрали 70,8 % веса. Это отражает общую позицию команды: важнее выбрать проект, который реально довести до конца за семестр, чем самый амбициозный. Наименьший вес — у потенциала развития (10,92 %): для учебного проекта монетизация и масштабирование вторичны.</w:t>
      </w:r>
    </w:p>
    <w:p>
      <w:pPr>
        <w:pStyle w:val="Heading2"/>
      </w:pPr>
      <w:r>
        <w:t>5.3. Согласованность суждений</w:t>
      </w:r>
    </w:p>
    <w:p>
      <w:pPr>
        <w:keepNext/>
        <w:spacing w:after="40"/>
        <w:jc w:val="left"/>
      </w:pPr>
      <w:r>
        <w:rPr>
          <w:i/>
          <w:sz w:val="24"/>
        </w:rPr>
        <w:t>Таблица 6 — Отношения согласованности (ОС)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Матрица</w:t>
            </w:r>
          </w:p>
        </w:tc>
        <w:tc>
          <w:tcPr>
            <w:tcW w:type="dxa" w:w="1871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Александр Ф.</w:t>
            </w:r>
          </w:p>
        </w:tc>
        <w:tc>
          <w:tcPr>
            <w:tcW w:type="dxa" w:w="1871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Алексей К.</w:t>
            </w:r>
          </w:p>
        </w:tc>
        <w:tc>
          <w:tcPr>
            <w:tcW w:type="dxa" w:w="1871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Александр Л.</w:t>
            </w:r>
          </w:p>
        </w:tc>
        <w:tc>
          <w:tcPr>
            <w:tcW w:type="dxa" w:w="1871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Коллективная</w:t>
            </w:r>
          </w:p>
        </w:tc>
      </w:tr>
      <w:tr>
        <w:tc>
          <w:tcPr>
            <w:tcW w:type="dxa" w:w="1871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Критерии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6,66 %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3,05 %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1,74 %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1,06 %</w:t>
            </w:r>
          </w:p>
        </w:tc>
      </w:tr>
      <w:tr>
        <w:tc>
          <w:tcPr>
            <w:tcW w:type="dxa" w:w="1871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Альтернативы: Экономичность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1,60 %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1,23 %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1,88 %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0,89 %</w:t>
            </w:r>
          </w:p>
        </w:tc>
      </w:tr>
      <w:tr>
        <w:tc>
          <w:tcPr>
            <w:tcW w:type="dxa" w:w="1871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Альтернативы: Актуальность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2,09 %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2,17 %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1,30 %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0,42 %</w:t>
            </w:r>
          </w:p>
        </w:tc>
      </w:tr>
      <w:tr>
        <w:tc>
          <w:tcPr>
            <w:tcW w:type="dxa" w:w="1871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Альтернативы: Потенциал развития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2,05 %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1,72 %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1,89 %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0,78 %</w:t>
            </w:r>
          </w:p>
        </w:tc>
      </w:tr>
      <w:tr>
        <w:tc>
          <w:tcPr>
            <w:tcW w:type="dxa" w:w="1871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Альтернативы: Простота реализации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1,05 %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1,38 %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1,31 %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0,51 %</w:t>
            </w:r>
          </w:p>
        </w:tc>
      </w:tr>
      <w:tr>
        <w:tc>
          <w:tcPr>
            <w:tcW w:type="dxa" w:w="1871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Альтернативы: Соответствие компетенциям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3,73 %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1,94 %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1,60 %</w:t>
            </w:r>
          </w:p>
        </w:tc>
        <w:tc>
          <w:tcPr>
            <w:tcW w:type="dxa" w:w="187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0,37 %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Все 18 индивидуальных матриц и 6 коллективных согласованы: максимальное ОС = 6,66 % (матрица «Критерии», эксперт Александр Ф.), что ниже порога 10 %. Коллективные матрицы согласованы ещё лучше индивидуальных — агрегация средним геометрическим сглаживает случайные расхождения отдельных суждений.</w:t>
      </w:r>
    </w:p>
    <w:p>
      <w:pPr>
        <w:pStyle w:val="Heading2"/>
      </w:pPr>
      <w:r>
        <w:t>5.4. Итоговые веса альтернатив</w:t>
      </w:r>
    </w:p>
    <w:p>
      <w:pPr>
        <w:keepNext/>
        <w:spacing w:after="40"/>
        <w:jc w:val="left"/>
      </w:pPr>
      <w:r>
        <w:rPr>
          <w:i/>
          <w:sz w:val="24"/>
        </w:rPr>
        <w:t>Таблица 7 — Локальные приоритеты по критериям и глобальные веса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Альтернатива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Экономичность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Актуальность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Потенциал развития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Простота реализации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Соответствие компетенциям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Глобальный вес</w:t>
            </w:r>
          </w:p>
        </w:tc>
        <w:tc>
          <w:tcPr>
            <w:tcW w:type="dxa" w:w="1169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Ранг</w:t>
            </w:r>
          </w:p>
        </w:tc>
      </w:tr>
      <w:tr>
        <w:tc>
          <w:tcPr>
            <w:tcW w:type="dxa" w:w="1169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Сплит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36,3 %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22,5 %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19,4 %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33,8 %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32,4 %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30,50 %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</w:t>
            </w:r>
          </w:p>
        </w:tc>
      </w:tr>
      <w:tr>
        <w:tc>
          <w:tcPr>
            <w:tcW w:type="dxa" w:w="11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Аудитории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21,3 %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24,2 %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9,8 %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21,5 %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26,7 %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21,82 %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11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Рецепты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28,4 %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8,2 %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11,2 %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29,6 %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19,2 %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21,06 %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11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Репетиторы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7,9 %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27,0 %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31,2 %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9,3 %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13,8 %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15,55 %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11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AR-гид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6,1 %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18,2 %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28,4 %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5,8 %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7,9 %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11,07 %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</w:tr>
      <w:tr>
        <w:tc>
          <w:tcPr>
            <w:tcW w:type="dxa" w:w="1169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Вес критерия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27,2 %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18,3 %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10,9 %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21,6 %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22,0 %</w:t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</w:r>
          </w:p>
        </w:tc>
        <w:tc>
          <w:tcPr>
            <w:tcW w:type="dxa" w:w="1169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«Сплит» снова на первом месте (30,50 %) и лидирует по трём самым весомым критериям: экономичности (36,3 %), простоте (33,8 %) и соответствию компетенциям (32,4 %). Его отрыв от второго места — 8,7 процентного пункта, то есть результат устойчив.</w:t>
      </w:r>
    </w:p>
    <w:p>
      <w:pPr>
        <w:ind w:firstLine="709"/>
        <w:jc w:val="both"/>
      </w:pPr>
      <w:r>
        <w:t>Второе и третье места разыграли «Аудитории» (21,82 %) и «Рецепты» (21,06 %) с разницей меньше процента. «Рецепты» сильнее по экономичности и простоте, но «Аудитории» выигрывают за счёт актуальности (24,2 % против 8,2 %) и соответствия компетенциям (26,7 % против 19,2 %). «Репетиторы» и «AR-гид» сильны только по актуальности и потенциалу, а эти критерии вместе весят меньше трети.</w:t>
      </w:r>
    </w:p>
    <w:p>
      <w:pPr>
        <w:pStyle w:val="Heading1"/>
      </w:pPr>
      <w:r>
        <w:t>6. Сравнение результатов двух методов</w:t>
      </w:r>
    </w:p>
    <w:p>
      <w:pPr>
        <w:keepNext/>
        <w:spacing w:after="40"/>
        <w:jc w:val="left"/>
      </w:pPr>
      <w:r>
        <w:rPr>
          <w:i/>
          <w:sz w:val="24"/>
        </w:rPr>
        <w:t>Таблица 8 — Сводное сравнение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  <w:shd w:val="clear" w:color="auto" w:fill="DDEBF7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Альтернатива</w:t>
            </w:r>
          </w:p>
        </w:tc>
        <w:tc>
          <w:tcPr>
            <w:tcW w:type="dxa" w:w="1701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CCᵢ (TOPSIS)</w:t>
            </w:r>
          </w:p>
        </w:tc>
        <w:tc>
          <w:tcPr>
            <w:tcW w:type="dxa" w:w="1417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Ранг TOPSIS</w:t>
            </w:r>
          </w:p>
        </w:tc>
        <w:tc>
          <w:tcPr>
            <w:tcW w:type="dxa" w:w="1701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Вес (МАИ)</w:t>
            </w:r>
          </w:p>
        </w:tc>
        <w:tc>
          <w:tcPr>
            <w:tcW w:type="dxa" w:w="1417"/>
            <w:shd w:val="clear" w:color="auto" w:fill="DDEBF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Ранг МАИ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b/>
                <w:sz w:val="24"/>
              </w:rPr>
              <w:t>Сплит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0,914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30,50 %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b/>
                <w:sz w:val="24"/>
              </w:rPr>
              <w:t>1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Рецепты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0,691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21,06 %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Аудитории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0,643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21,82 %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Репетиторы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0,383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15,55 %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spacing w:after="0"/>
              <w:ind w:firstLine="0"/>
              <w:jc w:val="left"/>
            </w:pPr>
            <w:r/>
            <w:r>
              <w:rPr>
                <w:sz w:val="24"/>
              </w:rPr>
              <w:t>AR-гид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0,182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11,07 %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>Оба метода дали одного и того же лидера («Сплит») и одинаковый хвост рейтинга («Репетиторы» — четвёртое место, «AR-гид» — пятое). Расхождение есть только в середине: в TOPSIS второе место у «Рецептов», в МАИ — у «Аудиторий». Причины этого видны из устройства методов:</w:t>
      </w:r>
    </w:p>
    <w:p>
      <w:pPr>
        <w:pStyle w:val="ListBullet"/>
        <w:jc w:val="left"/>
      </w:pPr>
      <w:r>
        <w:rPr>
          <w:b/>
        </w:rPr>
        <w:t xml:space="preserve">Абсолютные и относительные оценки. </w:t>
      </w:r>
      <w:r>
        <w:t>В TOPSIS эксперт оценивает каждую альтернативу саму по себе, в МАИ — всегда в сравнении с другой. При прямом сравнении «Аудиторий» и «Рецептов» по актуальности эксперты отдали предпочтение «Аудиториям» заметно увереннее, чем следовало из абсолютных оценок (проблема бронирования аудиторий хорошо знакома им по собственному вузу): локальные приоритеты 24,2 % против 8,2 %, тогда как в TOPSIS оценки различались лишь на один уровень шкалы (С/С/В против Н/С/Н) и разницу перевесили преимущества «Рецептов» по экономичности и простоте.</w:t>
      </w:r>
    </w:p>
    <w:p>
      <w:pPr>
        <w:pStyle w:val="ListBullet"/>
        <w:jc w:val="left"/>
      </w:pPr>
      <w:r>
        <w:rPr>
          <w:b/>
        </w:rPr>
        <w:t xml:space="preserve">Работа с неопределённостью. </w:t>
      </w:r>
      <w:r>
        <w:t>В TOPSIS неопределённость закладывается заранее через нечёткие числа, причём агрегация min/max расширяет диапазон при любом несогласии экспертов. В МАИ оценки чёткие, а качество суждений проверяется постфактум через отношение согласованности.</w:t>
      </w:r>
    </w:p>
    <w:p>
      <w:pPr>
        <w:pStyle w:val="ListBullet"/>
        <w:jc w:val="left"/>
      </w:pPr>
      <w:r>
        <w:rPr>
          <w:b/>
        </w:rPr>
        <w:t xml:space="preserve">Веса критериев. </w:t>
      </w:r>
      <w:r>
        <w:t>В TOPSIS важность критериев задана грубо, по той же пятиуровневой шкале, и три «реализационных» критерия получили одинаковый вес (5; 7,67; 9). В МАИ веса получены из парных сравнений и различаются тоньше: экономичность (27,2 %) заметно важнее простоты (21,6 %).</w:t>
      </w:r>
    </w:p>
    <w:p>
      <w:pPr>
        <w:pStyle w:val="ListBullet"/>
        <w:jc w:val="left"/>
      </w:pPr>
      <w:r>
        <w:rPr>
          <w:b/>
        </w:rPr>
        <w:t xml:space="preserve">Трудоёмкость. </w:t>
      </w:r>
      <w:r>
        <w:t>TOPSIS потребовал 30 оценок на эксперта, МАИ — 60 суждений. При росте числа альтернатив число парных сравнений растёт квадратично, поэтому для большого числа вариантов TOPSIS удобнее, а МАИ даёт более обоснованные веса и встроенную проверку логичности суждений.</w:t>
      </w:r>
    </w:p>
    <w:p>
      <w:pPr>
        <w:ind w:firstLine="709"/>
        <w:jc w:val="both"/>
      </w:pPr>
      <w:r>
        <w:t>Совпадение лидера в двух методах с разной логикой (расстояние до идеала и парные сравнения) повышает доверие к выбору: результат не является артефактом конкретной методики.</w:t>
      </w:r>
    </w:p>
    <w:p>
      <w:pPr>
        <w:pStyle w:val="Heading1"/>
      </w:pPr>
      <w:r>
        <w:t>7. Выбор концепции и обоснование</w:t>
      </w:r>
    </w:p>
    <w:p>
      <w:pPr>
        <w:ind w:firstLine="709"/>
        <w:jc w:val="both"/>
      </w:pPr>
      <w:r>
        <w:rPr>
          <w:b/>
        </w:rPr>
        <w:t xml:space="preserve">Решение. </w:t>
      </w:r>
      <w:r>
        <w:t>По результатам фазы 1 команда выбирает для дальнейшей работы концепцию «Сплит» — веб-приложение для учёта и разделения общих расходов в группе.</w:t>
      </w:r>
    </w:p>
    <w:p>
      <w:pPr>
        <w:jc w:val="both"/>
      </w:pPr>
      <w:r>
        <w:t>Почему именно «Сплит»:</w:t>
      </w:r>
    </w:p>
    <w:p>
      <w:pPr>
        <w:pStyle w:val="ListBullet"/>
        <w:jc w:val="left"/>
      </w:pPr>
      <w:r>
        <w:rPr>
          <w:b/>
        </w:rPr>
        <w:t xml:space="preserve">Реализуемость. </w:t>
      </w:r>
      <w:r>
        <w:t>Продукт не требует платёжных интеграций (приложение только считает долги, а не проводит деньги), не зависит от модерации в магазинах приложений и сторонних API. Типовой стек (SPA + REST API + реляционная БД) хорошо знаком всем участникам команды.</w:t>
      </w:r>
    </w:p>
    <w:p>
      <w:pPr>
        <w:pStyle w:val="ListBullet"/>
        <w:jc w:val="left"/>
      </w:pPr>
      <w:r>
        <w:rPr>
          <w:b/>
        </w:rPr>
        <w:t xml:space="preserve">Понятный объём MVP. </w:t>
      </w:r>
      <w:r>
        <w:t>Ядро продукта — группы, участники, расходы с разными способами деления и расчёт взаимных долгов — укладывается в семестр, а дальнейшие функции добавляются инкрементально.</w:t>
      </w:r>
    </w:p>
    <w:p>
      <w:pPr>
        <w:pStyle w:val="ListBullet"/>
        <w:jc w:val="left"/>
      </w:pPr>
      <w:r>
        <w:rPr>
          <w:b/>
        </w:rPr>
        <w:t xml:space="preserve">Реальная потребность. </w:t>
      </w:r>
      <w:r>
        <w:t>Задача делить расходы в поездке или на съёмной квартире знакома каждому участнику команды, поэтому требования можно формулировать на собственном опыте и сразу проверять на знакомых пользователях.</w:t>
      </w:r>
    </w:p>
    <w:p>
      <w:pPr>
        <w:pStyle w:val="ListBullet"/>
        <w:jc w:val="left"/>
      </w:pPr>
      <w:r>
        <w:rPr>
          <w:b/>
        </w:rPr>
        <w:t xml:space="preserve">Устойчивость результата. </w:t>
      </w:r>
      <w:r>
        <w:t>Первое место в обоих методах с отрывом: CC = 0,914 против 0,691 в TOPSIS и 30,50 % против 21,82 % в МАИ.</w:t>
      </w:r>
    </w:p>
    <w:p>
      <w:pPr>
        <w:jc w:val="both"/>
      </w:pPr>
      <w:r>
        <w:t>Слабые стороны концепции и как мы их учитываем:</w:t>
      </w:r>
    </w:p>
    <w:p>
      <w:pPr>
        <w:pStyle w:val="ListBullet"/>
        <w:jc w:val="left"/>
      </w:pPr>
      <w:r>
        <w:rPr>
          <w:b/>
        </w:rPr>
        <w:t xml:space="preserve">Конкуренция. </w:t>
      </w:r>
      <w:r>
        <w:t>Аналоги существуют (Splitwise, Tricount), поэтому актуальность оценена не как «очень высокая». Отстраиваться планируем за счёт простоты: группа без регистрации всех участников, вход по ссылке-приглашению, расчёт в рублях с округлением.</w:t>
      </w:r>
    </w:p>
    <w:p>
      <w:pPr>
        <w:pStyle w:val="ListBullet"/>
        <w:jc w:val="left"/>
      </w:pPr>
      <w:r>
        <w:rPr>
          <w:b/>
        </w:rPr>
        <w:t xml:space="preserve">Ограниченный потенциал монетизации. </w:t>
      </w:r>
      <w:r>
        <w:t>Для учебного проекта это некритично; при дальнейшем развитии возможны премиум-функции (сканирование чеков, мультивалютность).</w:t>
      </w:r>
    </w:p>
    <w:p>
      <w:pPr>
        <w:jc w:val="both"/>
      </w:pPr>
      <w:r>
        <w:t>Предварительный состав функциональности MVP, который будет уточняться и оцениваться в фазах 2 и 3:</w:t>
      </w:r>
    </w:p>
    <w:p>
      <w:pPr>
        <w:pStyle w:val="ListBullet"/>
        <w:jc w:val="left"/>
      </w:pPr>
      <w:r>
        <w:t>регистрация и вход пользователя;</w:t>
      </w:r>
    </w:p>
    <w:p>
      <w:pPr>
        <w:pStyle w:val="ListBullet"/>
        <w:jc w:val="left"/>
      </w:pPr>
      <w:r>
        <w:t>создание группы и приглашение участников по ссылке;</w:t>
      </w:r>
    </w:p>
    <w:p>
      <w:pPr>
        <w:pStyle w:val="ListBullet"/>
        <w:jc w:val="left"/>
      </w:pPr>
      <w:r>
        <w:t>добавление расхода: кто заплатил, сумма, категория, участники;</w:t>
      </w:r>
    </w:p>
    <w:p>
      <w:pPr>
        <w:pStyle w:val="ListBullet"/>
        <w:jc w:val="left"/>
      </w:pPr>
      <w:r>
        <w:t>способы деления расхода: поровну, в долях, точными суммами;</w:t>
      </w:r>
    </w:p>
    <w:p>
      <w:pPr>
        <w:pStyle w:val="ListBullet"/>
        <w:jc w:val="left"/>
      </w:pPr>
      <w:r>
        <w:t>баланс группы: кто кому сколько должен;</w:t>
      </w:r>
    </w:p>
    <w:p>
      <w:pPr>
        <w:pStyle w:val="ListBullet"/>
        <w:jc w:val="left"/>
      </w:pPr>
      <w:r>
        <w:t>расчёт минимального набора переводов для погашения долгов;</w:t>
      </w:r>
    </w:p>
    <w:p>
      <w:pPr>
        <w:pStyle w:val="ListBullet"/>
        <w:jc w:val="left"/>
      </w:pPr>
      <w:r>
        <w:t>отметка о погашении долга и история операций группы.</w:t>
      </w:r>
    </w:p>
    <w:p>
      <w:pPr>
        <w:ind w:firstLine="709"/>
        <w:jc w:val="both"/>
      </w:pPr>
      <w:r>
        <w:t>Резервной концепцией остаются «Аудитории» и «Рецепты», которые заняли второе место в одном из методов. Если в ходе оценки трудоёмкости в фазе 3 объём «Сплита» окажется неприемлемым, следующим кандидатом будет рассматриваться одна из них.</w:t>
      </w:r>
    </w:p>
    <w:p>
      <w:pPr>
        <w:pStyle w:val="Heading1"/>
      </w:pPr>
      <w:r>
        <w:t>8. Выводы</w:t>
      </w:r>
    </w:p>
    <w:p>
      <w:pPr>
        <w:ind w:firstLine="709"/>
        <w:jc w:val="both"/>
      </w:pPr>
      <w:r>
        <w:t>В рамках первой фазы команда сформулировала пять концепций программного проекта и пять критериев их сравнения, собрала независимые экспертные оценки трёх участников и обработала их двумя методами многокритериального выбора: нечётким коллективным TOPSIS и чётким коллективным МАИ. Все матрицы парных сравнений МАИ согласованы (ОС &lt; 10 %).</w:t>
      </w:r>
    </w:p>
    <w:p>
      <w:pPr>
        <w:ind w:firstLine="709"/>
        <w:jc w:val="both"/>
      </w:pPr>
      <w:r>
        <w:t>Оба метода указали на одну и ту же концепцию — веб-приложение «Сплит» для учёта и разделения общих расходов. Она лучше всех сочетает низкую стоимость, простоту реализации и соответствие компетенциям команды при достаточной актуальности. Эта концепция утверждена для дальнейшей работы: в фазе 2 будет выполнена декомпозиция работ и распределение задач между участниками, в фазе 3 — оценка размера и трудоёмкости проекта.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