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12FE" w:rsidRDefault="007619F7">
      <w:pPr>
        <w:spacing w:before="120" w:after="120"/>
        <w:jc w:val="center"/>
      </w:pPr>
      <w:r>
        <w:rPr>
          <w:noProof/>
        </w:rPr>
        <w:drawing>
          <wp:anchor distT="0" distB="0" distL="114300" distR="114300" simplePos="0" relativeHeight="251658240" behindDoc="0" locked="0" layoutInCell="1" allowOverlap="1">
            <wp:simplePos x="0" y="0"/>
            <wp:positionH relativeFrom="page">
              <wp:posOffset>0</wp:posOffset>
            </wp:positionH>
            <wp:positionV relativeFrom="page">
              <wp:posOffset>0</wp:posOffset>
            </wp:positionV>
            <wp:extent cx="7562850" cy="2268855"/>
            <wp:effectExtent l="0" t="0" r="0" b="0"/>
            <wp:wrapTopAndBottom/>
            <wp:docPr id="1" name="Drawing 0" descr="1b463ce00-00ae-4f39-8899-9f06395182b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b463ce00-00ae-4f39-8899-9f06395182b8.png"/>
                    <pic:cNvPicPr>
                      <a:picLocks noChangeAspect="1"/>
                    </pic:cNvPicPr>
                  </pic:nvPicPr>
                  <pic:blipFill>
                    <a:blip r:embed="rId7"/>
                    <a:stretch>
                      <a:fillRect/>
                    </a:stretch>
                  </pic:blipFill>
                  <pic:spPr>
                    <a:xfrm>
                      <a:off x="0" y="0"/>
                      <a:ext cx="7562850" cy="2268855"/>
                    </a:xfrm>
                    <a:prstGeom prst="rect">
                      <a:avLst/>
                    </a:prstGeom>
                  </pic:spPr>
                </pic:pic>
              </a:graphicData>
            </a:graphic>
          </wp:anchor>
        </w:drawing>
      </w:r>
    </w:p>
    <w:p w:rsidR="006012FE" w:rsidRPr="007619F7" w:rsidRDefault="007619F7" w:rsidP="007619F7">
      <w:pPr>
        <w:spacing w:after="240" w:line="240" w:lineRule="auto"/>
        <w:rPr>
          <w:rFonts w:ascii="Corben Bold" w:eastAsia="Corben Bold" w:hAnsi="Corben Bold" w:cs="Corben Bold"/>
          <w:b/>
          <w:bCs/>
          <w:i/>
          <w:iCs/>
          <w:color w:val="000000"/>
          <w:sz w:val="32"/>
          <w:szCs w:val="32"/>
        </w:rPr>
      </w:pPr>
      <w:r w:rsidRPr="007619F7">
        <w:rPr>
          <w:rFonts w:ascii="Corben Bold" w:eastAsia="Corben Bold" w:hAnsi="Corben Bold" w:cs="Corben Bold"/>
          <w:b/>
          <w:bCs/>
          <w:i/>
          <w:iCs/>
          <w:color w:val="000000"/>
          <w:sz w:val="32"/>
          <w:szCs w:val="32"/>
        </w:rPr>
        <w:t xml:space="preserve">Predicting Additional Screening Findings in an Iranian Occupational Health </w:t>
      </w:r>
      <w:proofErr w:type="spellStart"/>
      <w:r w:rsidRPr="007619F7">
        <w:rPr>
          <w:rFonts w:ascii="Corben Bold" w:eastAsia="Corben Bold" w:hAnsi="Corben Bold" w:cs="Corben Bold"/>
          <w:b/>
          <w:bCs/>
          <w:i/>
          <w:iCs/>
          <w:color w:val="000000"/>
          <w:sz w:val="32"/>
          <w:szCs w:val="32"/>
        </w:rPr>
        <w:t>Programme</w:t>
      </w:r>
      <w:proofErr w:type="spellEnd"/>
      <w:r w:rsidRPr="007619F7">
        <w:rPr>
          <w:rFonts w:ascii="Corben Bold" w:eastAsia="Corben Bold" w:hAnsi="Corben Bold" w:cs="Corben Bold"/>
          <w:b/>
          <w:bCs/>
          <w:i/>
          <w:iCs/>
          <w:color w:val="000000"/>
          <w:sz w:val="32"/>
          <w:szCs w:val="32"/>
        </w:rPr>
        <w:t xml:space="preserve">: Validation Across Screening Groups and Time </w:t>
      </w:r>
    </w:p>
    <w:p w:rsidR="006012FE" w:rsidRDefault="007619F7">
      <w:pPr>
        <w:spacing w:after="240" w:line="336" w:lineRule="auto"/>
        <w:jc w:val="both"/>
      </w:pPr>
      <w:r>
        <w:rPr>
          <w:rFonts w:ascii="Corben Bold" w:eastAsia="Corben Bold" w:hAnsi="Corben Bold" w:cs="Corben Bold"/>
          <w:b/>
          <w:bCs/>
          <w:color w:val="000000"/>
          <w:sz w:val="24"/>
          <w:szCs w:val="24"/>
        </w:rPr>
        <w:t>Authors:</w:t>
      </w:r>
      <w:r>
        <w:rPr>
          <w:rFonts w:ascii="Corben" w:eastAsia="Corben" w:hAnsi="Corben" w:cs="Corben"/>
          <w:color w:val="000000"/>
          <w:sz w:val="24"/>
          <w:szCs w:val="24"/>
        </w:rPr>
        <w:br/>
      </w:r>
      <w:proofErr w:type="spellStart"/>
      <w:r>
        <w:rPr>
          <w:rFonts w:ascii="Corben" w:eastAsia="Corben" w:hAnsi="Corben" w:cs="Corben"/>
          <w:color w:val="000000"/>
          <w:sz w:val="24"/>
          <w:szCs w:val="24"/>
        </w:rPr>
        <w:t>Aliasghar</w:t>
      </w:r>
      <w:proofErr w:type="spellEnd"/>
      <w:r>
        <w:rPr>
          <w:rFonts w:ascii="Corben" w:eastAsia="Corben" w:hAnsi="Corben" w:cs="Corben"/>
          <w:color w:val="000000"/>
          <w:sz w:val="24"/>
          <w:szCs w:val="24"/>
        </w:rPr>
        <w:t xml:space="preserve"> Noori</w:t>
      </w:r>
      <w:r>
        <w:t>¹²</w:t>
      </w:r>
      <w:r>
        <w:rPr>
          <w:rFonts w:ascii="Corben" w:eastAsia="Corben" w:hAnsi="Corben" w:cs="Corben"/>
          <w:color w:val="000000"/>
          <w:sz w:val="24"/>
          <w:szCs w:val="24"/>
        </w:rPr>
        <w:t xml:space="preserve">, </w:t>
      </w:r>
      <w:proofErr w:type="spellStart"/>
      <w:r>
        <w:rPr>
          <w:rFonts w:ascii="Corben" w:eastAsia="Corben" w:hAnsi="Corben" w:cs="Corben"/>
          <w:color w:val="000000"/>
          <w:sz w:val="24"/>
          <w:szCs w:val="24"/>
        </w:rPr>
        <w:t>Masih</w:t>
      </w:r>
      <w:proofErr w:type="spellEnd"/>
      <w:r>
        <w:rPr>
          <w:rFonts w:ascii="Corben" w:eastAsia="Corben" w:hAnsi="Corben" w:cs="Corben"/>
          <w:color w:val="000000"/>
          <w:sz w:val="24"/>
          <w:szCs w:val="24"/>
        </w:rPr>
        <w:t xml:space="preserve"> Mousavi</w:t>
      </w:r>
      <w:r>
        <w:t>³²*</w:t>
      </w:r>
      <w:r>
        <w:rPr>
          <w:rFonts w:ascii="Corben" w:eastAsia="Corben" w:hAnsi="Corben" w:cs="Corben"/>
          <w:color w:val="000000"/>
          <w:sz w:val="24"/>
          <w:szCs w:val="24"/>
        </w:rPr>
        <w:t xml:space="preserve">, Reza </w:t>
      </w:r>
      <w:proofErr w:type="spellStart"/>
      <w:r>
        <w:rPr>
          <w:rFonts w:ascii="Corben" w:eastAsia="Corben" w:hAnsi="Corben" w:cs="Corben"/>
          <w:color w:val="000000"/>
          <w:sz w:val="24"/>
          <w:szCs w:val="24"/>
        </w:rPr>
        <w:t>Jafari</w:t>
      </w:r>
      <w:proofErr w:type="spellEnd"/>
      <w:r>
        <w:rPr>
          <w:rFonts w:ascii="Corben" w:eastAsia="Corben" w:hAnsi="Corben" w:cs="Corben"/>
          <w:color w:val="000000"/>
          <w:sz w:val="24"/>
          <w:szCs w:val="24"/>
        </w:rPr>
        <w:t xml:space="preserve">⁴, </w:t>
      </w:r>
      <w:proofErr w:type="spellStart"/>
      <w:r>
        <w:rPr>
          <w:rFonts w:ascii="Corben" w:eastAsia="Corben" w:hAnsi="Corben" w:cs="Corben"/>
          <w:color w:val="000000"/>
          <w:sz w:val="24"/>
          <w:szCs w:val="24"/>
        </w:rPr>
        <w:t>Bardia</w:t>
      </w:r>
      <w:proofErr w:type="spellEnd"/>
      <w:r>
        <w:rPr>
          <w:rFonts w:ascii="Corben" w:eastAsia="Corben" w:hAnsi="Corben" w:cs="Corben"/>
          <w:color w:val="000000"/>
          <w:sz w:val="24"/>
          <w:szCs w:val="24"/>
        </w:rPr>
        <w:t xml:space="preserve"> </w:t>
      </w:r>
      <w:proofErr w:type="spellStart"/>
      <w:r>
        <w:rPr>
          <w:rFonts w:ascii="Corben" w:eastAsia="Corben" w:hAnsi="Corben" w:cs="Corben"/>
          <w:color w:val="000000"/>
          <w:sz w:val="24"/>
          <w:szCs w:val="24"/>
        </w:rPr>
        <w:t>Malackzadeh</w:t>
      </w:r>
      <w:proofErr w:type="spellEnd"/>
      <w:r>
        <w:rPr>
          <w:rFonts w:ascii="Corben" w:eastAsia="Corben" w:hAnsi="Corben" w:cs="Corben"/>
          <w:color w:val="000000"/>
          <w:sz w:val="24"/>
          <w:szCs w:val="24"/>
        </w:rPr>
        <w:t xml:space="preserve">⁵, Mehdi </w:t>
      </w:r>
      <w:proofErr w:type="spellStart"/>
      <w:r>
        <w:rPr>
          <w:rFonts w:ascii="Corben" w:eastAsia="Corben" w:hAnsi="Corben" w:cs="Corben"/>
          <w:color w:val="000000"/>
          <w:sz w:val="24"/>
          <w:szCs w:val="24"/>
        </w:rPr>
        <w:t>Hosseinpour</w:t>
      </w:r>
      <w:proofErr w:type="spellEnd"/>
      <w:r>
        <w:rPr>
          <w:rFonts w:ascii="Corben" w:eastAsia="Corben" w:hAnsi="Corben" w:cs="Corben"/>
          <w:color w:val="000000"/>
          <w:sz w:val="24"/>
          <w:szCs w:val="24"/>
        </w:rPr>
        <w:t xml:space="preserve">⁶² </w:t>
      </w:r>
    </w:p>
    <w:p w:rsidR="006012FE" w:rsidRDefault="007619F7">
      <w:pPr>
        <w:spacing w:after="240" w:line="336" w:lineRule="auto"/>
      </w:pPr>
      <w:r>
        <w:rPr>
          <w:rFonts w:ascii="Corben" w:eastAsia="Corben" w:hAnsi="Corben" w:cs="Corben"/>
          <w:color w:val="000000"/>
          <w:sz w:val="24"/>
          <w:szCs w:val="24"/>
        </w:rPr>
        <w:t xml:space="preserve"> </w:t>
      </w:r>
    </w:p>
    <w:p w:rsidR="006012FE" w:rsidRDefault="007619F7">
      <w:pPr>
        <w:spacing w:after="240" w:line="336" w:lineRule="auto"/>
        <w:jc w:val="both"/>
      </w:pPr>
      <w:r>
        <w:rPr>
          <w:rFonts w:ascii="Corben Bold" w:eastAsia="Corben Bold" w:hAnsi="Corben Bold" w:cs="Corben Bold"/>
          <w:b/>
          <w:bCs/>
          <w:color w:val="000000"/>
          <w:sz w:val="24"/>
          <w:szCs w:val="24"/>
        </w:rPr>
        <w:t>Affiliations</w:t>
      </w:r>
      <w:r>
        <w:rPr>
          <w:rFonts w:ascii="Corben" w:eastAsia="Corben" w:hAnsi="Corben" w:cs="Corben"/>
          <w:color w:val="000000"/>
          <w:sz w:val="24"/>
          <w:szCs w:val="24"/>
        </w:rPr>
        <w:t xml:space="preserve">: </w:t>
      </w:r>
    </w:p>
    <w:p w:rsidR="006012FE" w:rsidRDefault="007619F7">
      <w:pPr>
        <w:spacing w:after="240" w:line="336" w:lineRule="auto"/>
        <w:jc w:val="both"/>
      </w:pPr>
      <w:r>
        <w:rPr>
          <w:rFonts w:ascii="Corben" w:eastAsia="Corben" w:hAnsi="Corben" w:cs="Corben"/>
          <w:color w:val="000000"/>
          <w:sz w:val="24"/>
          <w:szCs w:val="24"/>
        </w:rPr>
        <w:t xml:space="preserve">      ¹ School of Computing and Informatics, London South Bank University, London, UK </w:t>
      </w:r>
    </w:p>
    <w:p w:rsidR="006012FE" w:rsidRDefault="007619F7">
      <w:pPr>
        <w:spacing w:after="240" w:line="336" w:lineRule="auto"/>
        <w:jc w:val="both"/>
      </w:pPr>
      <w:r>
        <w:rPr>
          <w:rFonts w:ascii="Corben" w:eastAsia="Corben" w:hAnsi="Corben" w:cs="Corben"/>
          <w:color w:val="000000"/>
          <w:sz w:val="24"/>
          <w:szCs w:val="24"/>
        </w:rPr>
        <w:t xml:space="preserve">      ² Davis Company, Tehran, Iran </w:t>
      </w:r>
    </w:p>
    <w:p w:rsidR="006012FE" w:rsidRDefault="007619F7">
      <w:pPr>
        <w:spacing w:after="240" w:line="211" w:lineRule="auto"/>
        <w:jc w:val="both"/>
      </w:pPr>
      <w:r>
        <w:rPr>
          <w:rFonts w:ascii="Corben" w:eastAsia="Corben" w:hAnsi="Corben" w:cs="Corben"/>
          <w:color w:val="000000"/>
          <w:spacing w:val="3"/>
          <w:sz w:val="24"/>
          <w:szCs w:val="24"/>
        </w:rPr>
        <w:t xml:space="preserve">      ³ Department of Computer Science, Faculty of Mathematical Sciences, </w:t>
      </w:r>
    </w:p>
    <w:p w:rsidR="006012FE" w:rsidRDefault="007619F7">
      <w:pPr>
        <w:spacing w:after="240" w:line="211" w:lineRule="auto"/>
        <w:ind w:left="480"/>
        <w:jc w:val="both"/>
      </w:pPr>
      <w:r>
        <w:rPr>
          <w:rFonts w:ascii="Corben" w:eastAsia="Corben" w:hAnsi="Corben" w:cs="Corben"/>
          <w:color w:val="000000"/>
          <w:spacing w:val="3"/>
          <w:sz w:val="24"/>
          <w:szCs w:val="24"/>
        </w:rPr>
        <w:t xml:space="preserve"> University of Mazandaran, </w:t>
      </w:r>
      <w:proofErr w:type="spellStart"/>
      <w:r>
        <w:rPr>
          <w:rFonts w:ascii="Corben" w:eastAsia="Corben" w:hAnsi="Corben" w:cs="Corben"/>
          <w:color w:val="000000"/>
          <w:spacing w:val="3"/>
          <w:sz w:val="24"/>
          <w:szCs w:val="24"/>
        </w:rPr>
        <w:t>Babolsar</w:t>
      </w:r>
      <w:proofErr w:type="spellEnd"/>
      <w:r>
        <w:rPr>
          <w:rFonts w:ascii="Corben" w:eastAsia="Corben" w:hAnsi="Corben" w:cs="Corben"/>
          <w:color w:val="000000"/>
          <w:spacing w:val="3"/>
          <w:sz w:val="24"/>
          <w:szCs w:val="24"/>
        </w:rPr>
        <w:t xml:space="preserve">, Iran </w:t>
      </w:r>
    </w:p>
    <w:p w:rsidR="006012FE" w:rsidRDefault="007619F7">
      <w:pPr>
        <w:spacing w:after="240" w:line="336" w:lineRule="auto"/>
        <w:ind w:firstLine="480"/>
        <w:jc w:val="both"/>
      </w:pPr>
      <w:r>
        <w:rPr>
          <w:rFonts w:ascii="Corben" w:eastAsia="Corben" w:hAnsi="Corben" w:cs="Corben"/>
          <w:color w:val="000000"/>
          <w:sz w:val="24"/>
          <w:szCs w:val="24"/>
        </w:rPr>
        <w:t xml:space="preserve">⁴ </w:t>
      </w:r>
      <w:r>
        <w:rPr>
          <w:rFonts w:ascii="Corben" w:eastAsia="Corben" w:hAnsi="Corben" w:cs="Corben"/>
          <w:color w:val="000000"/>
          <w:spacing w:val="3"/>
          <w:sz w:val="24"/>
          <w:szCs w:val="24"/>
        </w:rPr>
        <w:t xml:space="preserve">Department of Geodesy and Geomatics Engineering, Faculty of Geodesy and Geomatics   Engineering, K. N. </w:t>
      </w:r>
      <w:proofErr w:type="spellStart"/>
      <w:r>
        <w:rPr>
          <w:rFonts w:ascii="Corben" w:eastAsia="Corben" w:hAnsi="Corben" w:cs="Corben"/>
          <w:color w:val="000000"/>
          <w:spacing w:val="3"/>
          <w:sz w:val="24"/>
          <w:szCs w:val="24"/>
        </w:rPr>
        <w:t>Toosi</w:t>
      </w:r>
      <w:proofErr w:type="spellEnd"/>
      <w:r>
        <w:rPr>
          <w:rFonts w:ascii="Corben" w:eastAsia="Corben" w:hAnsi="Corben" w:cs="Corben"/>
          <w:color w:val="000000"/>
          <w:spacing w:val="3"/>
          <w:sz w:val="24"/>
          <w:szCs w:val="24"/>
        </w:rPr>
        <w:t xml:space="preserve"> University of Technology, Tehran, Iran </w:t>
      </w:r>
    </w:p>
    <w:p w:rsidR="006012FE" w:rsidRDefault="007619F7">
      <w:pPr>
        <w:spacing w:after="0" w:line="336" w:lineRule="auto"/>
        <w:ind w:left="480"/>
        <w:jc w:val="both"/>
      </w:pPr>
      <w:r>
        <w:rPr>
          <w:rFonts w:ascii="Corben" w:eastAsia="Corben" w:hAnsi="Corben" w:cs="Corben"/>
          <w:color w:val="000000"/>
          <w:spacing w:val="3"/>
          <w:sz w:val="24"/>
          <w:szCs w:val="24"/>
        </w:rPr>
        <w:t>⁵ School of Computing Science, Simon Fraser University, Burnaby, BC, Canada </w:t>
      </w:r>
      <w:r>
        <w:rPr>
          <w:rFonts w:ascii="Corben" w:eastAsia="Corben" w:hAnsi="Corben" w:cs="Corben"/>
          <w:color w:val="000000"/>
          <w:spacing w:val="3"/>
          <w:sz w:val="24"/>
          <w:szCs w:val="24"/>
        </w:rPr>
        <w:br/>
        <w:t>⁶ Islamic Azad University, South Tehran Branch, Tehran, Iran </w:t>
      </w:r>
      <w:r>
        <w:rPr>
          <w:rFonts w:ascii="Corben" w:eastAsia="Corben" w:hAnsi="Corben" w:cs="Corben"/>
          <w:color w:val="000000"/>
          <w:spacing w:val="3"/>
          <w:sz w:val="24"/>
          <w:szCs w:val="24"/>
        </w:rPr>
        <w:br/>
      </w:r>
    </w:p>
    <w:p w:rsidR="006012FE" w:rsidRDefault="007619F7">
      <w:pPr>
        <w:spacing w:after="240" w:line="336" w:lineRule="auto"/>
        <w:jc w:val="both"/>
      </w:pPr>
      <w:r>
        <w:rPr>
          <w:rFonts w:ascii="Corben" w:eastAsia="Corben" w:hAnsi="Corben" w:cs="Corben"/>
          <w:color w:val="000000"/>
          <w:sz w:val="24"/>
          <w:szCs w:val="24"/>
        </w:rPr>
        <w:t xml:space="preserve">*Corresponding author: Masih Mousavi (m451hm@gmail.com)</w:t>
      </w:r>
    </w:p>
    <w:p w:rsidR="006012FE" w:rsidRDefault="007619F7">
      <w:pPr>
        <w:spacing w:after="240" w:line="336" w:lineRule="auto"/>
      </w:pPr>
      <w:r>
        <w:rPr>
          <w:rFonts w:ascii="Corben" w:eastAsia="Corben" w:hAnsi="Corben" w:cs="Corben"/>
          <w:color w:val="000000"/>
          <w:sz w:val="24"/>
          <w:szCs w:val="24"/>
        </w:rPr>
        <w:t xml:space="preserve"> </w:t>
      </w:r>
    </w:p>
    <w:p w:rsidR="006012FE" w:rsidRDefault="007619F7">
      <w:pPr>
        <w:spacing w:after="240" w:line="336" w:lineRule="auto"/>
      </w:pPr>
      <w:r>
        <w:rPr>
          <w:rFonts w:ascii="Arimo Bold" w:eastAsia="Arimo Bold" w:hAnsi="Arimo Bold" w:cs="Arimo Bold"/>
          <w:b/>
          <w:bCs/>
          <w:color w:val="000000"/>
          <w:sz w:val="42"/>
          <w:szCs w:val="42"/>
        </w:rPr>
        <w:t xml:space="preserve">Abstract </w:t>
      </w:r>
    </w:p>
    <w:p w:rsidR="006012FE" w:rsidRDefault="007619F7">
      <w:pPr>
        <w:spacing w:after="240" w:line="336" w:lineRule="auto"/>
      </w:pPr>
      <w:r>
        <w:rPr>
          <w:rFonts w:ascii="Arimo Bold" w:eastAsia="Arimo Bold" w:hAnsi="Arimo Bold" w:cs="Arimo Bold"/>
          <w:b/>
          <w:bCs/>
          <w:color w:val="000000"/>
          <w:sz w:val="24"/>
          <w:szCs w:val="24"/>
        </w:rPr>
        <w:t>Background:</w:t>
      </w:r>
      <w:r>
        <w:rPr>
          <w:rFonts w:ascii="Arimo" w:eastAsia="Arimo" w:hAnsi="Arimo" w:cs="Arimo"/>
          <w:color w:val="000000"/>
          <w:sz w:val="24"/>
          <w:szCs w:val="24"/>
        </w:rPr>
        <w:t xml:space="preserve"> Routine clinical measurements may help </w:t>
      </w:r>
      <w:proofErr w:type="spellStart"/>
      <w:r>
        <w:rPr>
          <w:rFonts w:ascii="Arimo" w:eastAsia="Arimo" w:hAnsi="Arimo" w:cs="Arimo"/>
          <w:color w:val="000000"/>
          <w:sz w:val="24"/>
          <w:szCs w:val="24"/>
        </w:rPr>
        <w:t>prioritise</w:t>
      </w:r>
      <w:proofErr w:type="spellEnd"/>
      <w:r>
        <w:rPr>
          <w:rFonts w:ascii="Arimo" w:eastAsia="Arimo" w:hAnsi="Arimo" w:cs="Arimo"/>
          <w:color w:val="000000"/>
          <w:sz w:val="24"/>
          <w:szCs w:val="24"/>
        </w:rPr>
        <w:t xml:space="preserve"> further examinations in occupational health </w:t>
      </w:r>
      <w:proofErr w:type="spellStart"/>
      <w:r>
        <w:rPr>
          <w:rFonts w:ascii="Arimo" w:eastAsia="Arimo" w:hAnsi="Arimo" w:cs="Arimo"/>
          <w:color w:val="000000"/>
          <w:sz w:val="24"/>
          <w:szCs w:val="24"/>
        </w:rPr>
        <w:t>programmes</w:t>
      </w:r>
      <w:proofErr w:type="spellEnd"/>
      <w:r>
        <w:rPr>
          <w:rFonts w:ascii="Arimo" w:eastAsia="Arimo" w:hAnsi="Arimo" w:cs="Arimo"/>
          <w:color w:val="000000"/>
          <w:sz w:val="24"/>
          <w:szCs w:val="24"/>
        </w:rPr>
        <w:t xml:space="preserve">, but repeated attendance and </w:t>
      </w:r>
      <w:r>
        <w:rPr>
          <w:rFonts w:ascii="Arimo" w:eastAsia="Arimo" w:hAnsi="Arimo" w:cs="Arimo"/>
          <w:color w:val="000000"/>
          <w:sz w:val="24"/>
          <w:szCs w:val="24"/>
        </w:rPr>
        <w:lastRenderedPageBreak/>
        <w:t xml:space="preserve">selective testing complicate model evaluation. We assessed how well recorded findings can be predicted across occupational screening groups and over time. </w:t>
      </w:r>
    </w:p>
    <w:p w:rsidR="006012FE" w:rsidRDefault="007619F7">
      <w:pPr>
        <w:spacing w:after="240" w:line="336" w:lineRule="auto"/>
      </w:pPr>
      <w:r>
        <w:rPr>
          <w:rFonts w:ascii="Arimo Bold" w:eastAsia="Arimo Bold" w:hAnsi="Arimo Bold" w:cs="Arimo Bold"/>
          <w:b/>
          <w:bCs/>
          <w:color w:val="000000"/>
          <w:sz w:val="24"/>
          <w:szCs w:val="24"/>
        </w:rPr>
        <w:t>Methods:</w:t>
      </w:r>
      <w:r>
        <w:rPr>
          <w:rFonts w:ascii="Arimo" w:eastAsia="Arimo" w:hAnsi="Arimo" w:cs="Arimo"/>
          <w:color w:val="000000"/>
          <w:sz w:val="24"/>
          <w:szCs w:val="24"/>
        </w:rPr>
        <w:t xml:space="preserve"> We </w:t>
      </w:r>
      <w:proofErr w:type="spellStart"/>
      <w:r>
        <w:rPr>
          <w:rFonts w:ascii="Arimo" w:eastAsia="Arimo" w:hAnsi="Arimo" w:cs="Arimo"/>
          <w:color w:val="000000"/>
          <w:sz w:val="24"/>
          <w:szCs w:val="24"/>
        </w:rPr>
        <w:t>analysed</w:t>
      </w:r>
      <w:proofErr w:type="spellEnd"/>
      <w:r>
        <w:rPr>
          <w:rFonts w:ascii="Arimo" w:eastAsia="Arimo" w:hAnsi="Arimo" w:cs="Arimo"/>
          <w:color w:val="000000"/>
          <w:sz w:val="24"/>
          <w:szCs w:val="24"/>
        </w:rPr>
        <w:t xml:space="preserve"> 36,885 visits from linked routine clinic, laboratory, and imaging records of an Iranian occupational health </w:t>
      </w:r>
      <w:proofErr w:type="spellStart"/>
      <w:r>
        <w:rPr>
          <w:rFonts w:ascii="Arimo" w:eastAsia="Arimo" w:hAnsi="Arimo" w:cs="Arimo"/>
          <w:color w:val="000000"/>
          <w:sz w:val="24"/>
          <w:szCs w:val="24"/>
        </w:rPr>
        <w:t>programme</w:t>
      </w:r>
      <w:proofErr w:type="spellEnd"/>
      <w:r>
        <w:rPr>
          <w:rFonts w:ascii="Arimo" w:eastAsia="Arimo" w:hAnsi="Arimo" w:cs="Arimo"/>
          <w:color w:val="000000"/>
          <w:sz w:val="24"/>
          <w:szCs w:val="24"/>
        </w:rPr>
        <w:t xml:space="preserve"> (Solar Hijri years 1398–1405). Twelve recorded outcomes were modelled using 50 predictors. Models were evaluated under three held-out schemes: reconstructed identities (defined by birth date and sex), employer- or role-defined screening groups, and later calendar years. We report discrimination and calibration with conditional bootstrap confidence intervals, and, as a sensitivity analysis, models refitted using first recorded visits only. The upstream anonymous identifier was not available in the supplied archive, so person-level linkage could not be verified. </w:t>
      </w:r>
    </w:p>
    <w:p w:rsidR="006012FE" w:rsidRDefault="007619F7">
      <w:pPr>
        <w:spacing w:after="240" w:line="336" w:lineRule="auto"/>
      </w:pPr>
      <w:r>
        <w:rPr>
          <w:rFonts w:ascii="Arimo Bold" w:eastAsia="Arimo Bold" w:hAnsi="Arimo Bold" w:cs="Arimo Bold"/>
          <w:b/>
          <w:bCs/>
          <w:color w:val="000000"/>
          <w:sz w:val="24"/>
          <w:szCs w:val="24"/>
        </w:rPr>
        <w:t>Results:</w:t>
      </w:r>
      <w:r>
        <w:rPr>
          <w:rFonts w:ascii="Arimo" w:eastAsia="Arimo" w:hAnsi="Arimo" w:cs="Arimo"/>
          <w:color w:val="000000"/>
          <w:sz w:val="24"/>
          <w:szCs w:val="24"/>
        </w:rPr>
        <w:t xml:space="preserve"> Mean within-group AUROCs were 0.774 (95% conditional CI, 0.757–0.790) for prostate echotexture and 0.733 (0.715–0.750) for recorded low bone mass. Under temporal validation, AUROCs decreased to 0.711 and 0.628, respectively, with calibration slopes of 0.516 and 0.422, indicating overly extreme risk estimates. Refitting on first recorded visits yielded mean group-level AUROCs of 0.748 and 0.795, although only four and eight groups, respectively, met eligibility criteria. Associations for VT D3 attenuated after accounting for screening group and extraction batch. </w:t>
      </w:r>
    </w:p>
    <w:p w:rsidR="006012FE" w:rsidRDefault="007619F7">
      <w:pPr>
        <w:spacing w:after="240" w:line="336" w:lineRule="auto"/>
      </w:pPr>
      <w:r>
        <w:rPr>
          <w:rFonts w:ascii="Arimo Bold" w:eastAsia="Arimo Bold" w:hAnsi="Arimo Bold" w:cs="Arimo Bold"/>
          <w:b/>
          <w:bCs/>
          <w:color w:val="000000"/>
          <w:sz w:val="24"/>
          <w:szCs w:val="24"/>
        </w:rPr>
        <w:t>Conclusions:</w:t>
      </w:r>
      <w:r>
        <w:rPr>
          <w:rFonts w:ascii="Arimo" w:eastAsia="Arimo" w:hAnsi="Arimo" w:cs="Arimo"/>
          <w:color w:val="000000"/>
          <w:sz w:val="24"/>
          <w:szCs w:val="24"/>
        </w:rPr>
        <w:t xml:space="preserve"> Routine measurements carried target-dependent predictive information, most strongly for recorded low bone mass and prostate echotexture. However, performance varied across screening groups and deteriorated over time. Routinely collected data may therefore help identify endpoints worth evaluating in prospective triage studies. Any referral policy would require adjudicated outcome labels, verification of predictor availability within the clinical workflow, and independent validation of fixed decision thresholds. Because true person-level linkage and prospective predictor availability could not be established, these findings should be considered exploratory. </w:t>
      </w:r>
    </w:p>
    <w:p w:rsidR="006012FE" w:rsidRDefault="007619F7">
      <w:pPr>
        <w:spacing w:after="240" w:line="336" w:lineRule="auto"/>
      </w:pPr>
      <w:r>
        <w:rPr>
          <w:rFonts w:ascii="Arimo Bold" w:eastAsia="Arimo Bold" w:hAnsi="Arimo Bold" w:cs="Arimo Bold"/>
          <w:b/>
          <w:bCs/>
          <w:color w:val="000000"/>
          <w:sz w:val="24"/>
          <w:szCs w:val="24"/>
        </w:rPr>
        <w:t>Keywords:</w:t>
      </w:r>
      <w:r>
        <w:rPr>
          <w:rFonts w:ascii="Arimo" w:eastAsia="Arimo" w:hAnsi="Arimo" w:cs="Arimo"/>
          <w:color w:val="000000"/>
          <w:sz w:val="24"/>
          <w:szCs w:val="24"/>
        </w:rPr>
        <w:t xml:space="preserve"> occupational health; clinical prediction model; routinely collected data; internal–external validation; temporal validation; calibration; health screening; Iran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lastRenderedPageBreak/>
              <w:t xml:space="preserve">1. Background </w:t>
            </w:r>
          </w:p>
        </w:tc>
      </w:tr>
    </w:tbl>
    <w:p w:rsidR="006012FE" w:rsidRDefault="007619F7">
      <w:pPr>
        <w:spacing w:after="240" w:line="336" w:lineRule="auto"/>
      </w:pPr>
      <w:r>
        <w:rPr>
          <w:rFonts w:ascii="Arimo" w:eastAsia="Arimo" w:hAnsi="Arimo" w:cs="Arimo"/>
          <w:color w:val="000000"/>
          <w:sz w:val="24"/>
          <w:szCs w:val="24"/>
        </w:rPr>
        <w:t xml:space="preserve">Periodic occupational health examinations generate a heterogeneous collection of laboratory measurements, bedside observations, and additional imaging- or instrument-based assessments. In the </w:t>
      </w:r>
      <w:proofErr w:type="spellStart"/>
      <w:r>
        <w:rPr>
          <w:rFonts w:ascii="Arimo" w:eastAsia="Arimo" w:hAnsi="Arimo" w:cs="Arimo"/>
          <w:color w:val="000000"/>
          <w:sz w:val="24"/>
          <w:szCs w:val="24"/>
        </w:rPr>
        <w:t>programme</w:t>
      </w:r>
      <w:proofErr w:type="spellEnd"/>
      <w:r>
        <w:rPr>
          <w:rFonts w:ascii="Arimo" w:eastAsia="Arimo" w:hAnsi="Arimo" w:cs="Arimo"/>
          <w:color w:val="000000"/>
          <w:sz w:val="24"/>
          <w:szCs w:val="24"/>
        </w:rPr>
        <w:t xml:space="preserve"> studied here, many core measurements were commonly available, whereas additional modules varied substantially across screening groups. This raises a practical prediction question: can measurements already collected during an examination identify attendees who are more likely to have a recorded finding in an additional module? </w:t>
      </w:r>
    </w:p>
    <w:p w:rsidR="006012FE" w:rsidRDefault="007619F7">
      <w:pPr>
        <w:spacing w:after="240" w:line="336" w:lineRule="auto"/>
      </w:pPr>
      <w:r>
        <w:rPr>
          <w:rFonts w:ascii="Arimo" w:eastAsia="Arimo" w:hAnsi="Arimo" w:cs="Arimo"/>
          <w:color w:val="000000"/>
          <w:sz w:val="24"/>
          <w:szCs w:val="24"/>
        </w:rPr>
        <w:t xml:space="preserve">Previous studies have examined osteoporosis prediction from routine blood tests and bone-density prediction from health-examination data [1,2], and related work has extended this approach to carotid plaque [3]. These studies establish a relevant line of investigation, but their populations, target definitions, and validation designs differ from those of an occupational screening </w:t>
      </w:r>
      <w:proofErr w:type="spellStart"/>
      <w:r>
        <w:rPr>
          <w:rFonts w:ascii="Arimo" w:eastAsia="Arimo" w:hAnsi="Arimo" w:cs="Arimo"/>
          <w:color w:val="000000"/>
          <w:sz w:val="24"/>
          <w:szCs w:val="24"/>
        </w:rPr>
        <w:t>programme</w:t>
      </w:r>
      <w:proofErr w:type="spellEnd"/>
      <w:r>
        <w:rPr>
          <w:rFonts w:ascii="Arimo" w:eastAsia="Arimo" w:hAnsi="Arimo" w:cs="Arimo"/>
          <w:color w:val="000000"/>
          <w:sz w:val="24"/>
          <w:szCs w:val="24"/>
        </w:rPr>
        <w:t xml:space="preserve">. The unresolved question is whether such information remains useful when a model encounters different screening arrangements or a later period. Performance within a randomly divided dataset cannot answer that question on its own. </w:t>
      </w:r>
    </w:p>
    <w:p w:rsidR="006012FE" w:rsidRDefault="007619F7">
      <w:pPr>
        <w:spacing w:after="240" w:line="336" w:lineRule="auto"/>
      </w:pPr>
      <w:r>
        <w:rPr>
          <w:rFonts w:ascii="Arimo" w:eastAsia="Arimo" w:hAnsi="Arimo" w:cs="Arimo"/>
          <w:color w:val="000000"/>
          <w:sz w:val="24"/>
          <w:szCs w:val="24"/>
        </w:rPr>
        <w:t xml:space="preserve">Evaluating models in routinely collected data presents further challenges. Repeat attendees may contribute correlated observations, and screening arrangements can influence which outcomes are observed. Models may also exploit between-group differences that do not translate into useful discrimination within a new group. Internal–external validation provides a framework for assessing such heterogeneity by withholding entire groups during model development [4]. Calibration and decision-analytic assessment address questions that discrimination alone cannot resolve [5,6]. In addition, dataset shift can arise when the mechanisms that generate clinical measurements or labels change between development and use [7], and the interpretation of external performance depends on how the case mix of the evaluation sample differs from that of the development sample [8]. </w:t>
      </w:r>
    </w:p>
    <w:p w:rsidR="006012FE" w:rsidRDefault="007619F7">
      <w:pPr>
        <w:spacing w:after="240" w:line="336" w:lineRule="auto"/>
      </w:pPr>
      <w:r>
        <w:rPr>
          <w:rFonts w:ascii="Arimo" w:eastAsia="Arimo" w:hAnsi="Arimo" w:cs="Arimo"/>
          <w:color w:val="000000"/>
          <w:sz w:val="24"/>
          <w:szCs w:val="24"/>
        </w:rPr>
        <w:t xml:space="preserve">We therefore investigated 12 recorded findings using a common predictor panel and modelling framework. Rather than introducing a new learning algorithm, we asked which signals remain useful when evaluation approximates intended use: across people, across screening arrangements, and across time. Specifically, we quantified discrimination and calibration under person-grouped, screening-group-held-out, and temporal evaluation; examined the incremental information contributed by laboratory </w:t>
      </w:r>
      <w:r>
        <w:rPr>
          <w:rFonts w:ascii="Arimo" w:eastAsia="Arimo" w:hAnsi="Arimo" w:cs="Arimo"/>
          <w:color w:val="000000"/>
          <w:sz w:val="24"/>
          <w:szCs w:val="24"/>
        </w:rPr>
        <w:lastRenderedPageBreak/>
        <w:t xml:space="preserve">blocks; compared pooled with within-group discrimination; and explored referral operating points. The intended application is the </w:t>
      </w:r>
      <w:proofErr w:type="spellStart"/>
      <w:r>
        <w:rPr>
          <w:rFonts w:ascii="Arimo" w:eastAsia="Arimo" w:hAnsi="Arimo" w:cs="Arimo"/>
          <w:color w:val="000000"/>
          <w:sz w:val="24"/>
          <w:szCs w:val="24"/>
        </w:rPr>
        <w:t>prioritisation</w:t>
      </w:r>
      <w:proofErr w:type="spellEnd"/>
      <w:r>
        <w:rPr>
          <w:rFonts w:ascii="Arimo" w:eastAsia="Arimo" w:hAnsi="Arimo" w:cs="Arimo"/>
          <w:color w:val="000000"/>
          <w:sz w:val="24"/>
          <w:szCs w:val="24"/>
        </w:rPr>
        <w:t xml:space="preserve"> of additional examinations once core measurements are available.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2. Methods </w:t>
            </w:r>
          </w:p>
        </w:tc>
      </w:tr>
    </w:tbl>
    <w:p w:rsidR="006012FE" w:rsidRDefault="007619F7">
      <w:pPr>
        <w:spacing w:after="240" w:line="336" w:lineRule="auto"/>
      </w:pPr>
      <w:r>
        <w:rPr>
          <w:rFonts w:ascii="Arimo" w:eastAsia="Arimo" w:hAnsi="Arimo" w:cs="Arimo"/>
          <w:color w:val="000000"/>
          <w:sz w:val="24"/>
          <w:szCs w:val="24"/>
        </w:rPr>
        <w:t>This section describes the study design (2.1), the participants and setting (2.2), the data collection and data preparation procedures (2.</w:t>
      </w:r>
      <w:r w:rsidR="0088387B">
        <w:rPr>
          <w:rFonts w:ascii="Arimo" w:eastAsia="Arimo" w:hAnsi="Arimo" w:cs="Arimo"/>
          <w:color w:val="000000"/>
          <w:sz w:val="24"/>
          <w:szCs w:val="24"/>
        </w:rPr>
        <w:t xml:space="preserve">3), and the </w:t>
      </w:r>
      <w:r w:rsidR="0088387B">
        <w:rPr>
          <w:rFonts w:ascii="Arimo" w:eastAsia="Arimo" w:hAnsi="Arimo" w:cs="Arial"/>
          <w:color w:val="000000"/>
          <w:sz w:val="24"/>
          <w:szCs w:val="24"/>
        </w:rPr>
        <w:t>predictors and outcomes</w:t>
      </w:r>
      <w:r>
        <w:rPr>
          <w:rFonts w:ascii="Arimo" w:eastAsia="Arimo" w:hAnsi="Arimo" w:cs="Arimo"/>
          <w:color w:val="000000"/>
          <w:sz w:val="24"/>
          <w:szCs w:val="24"/>
        </w:rPr>
        <w:t xml:space="preserve"> (2.4)</w:t>
      </w:r>
      <w:r w:rsidR="0088387B">
        <w:rPr>
          <w:rFonts w:ascii="Arimo" w:eastAsia="Arimo" w:hAnsi="Arimo" w:cs="Arimo"/>
          <w:color w:val="000000"/>
          <w:sz w:val="24"/>
          <w:szCs w:val="24"/>
        </w:rPr>
        <w:t>, and statistical analysis (2.5)</w:t>
      </w:r>
      <w:r>
        <w:rPr>
          <w:rFonts w:ascii="Arimo" w:eastAsia="Arimo" w:hAnsi="Arimo" w:cs="Arimo"/>
          <w:color w:val="000000"/>
          <w:sz w:val="24"/>
          <w:szCs w:val="24"/>
        </w:rPr>
        <w:t xml:space="preserve">. The study is a retrospective analysis of routinely collected occupational health-examination records. It was prepared with reference to the TRIPOD+AI reporting guidance [9] and the RECORD statement for studies using routinely collected health data [10]. Because the analysis was not pre-registered, all model comparisons and additional analyses are exploratory.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2.1 Study Design </w:t>
            </w:r>
          </w:p>
        </w:tc>
      </w:tr>
    </w:tbl>
    <w:p w:rsidR="006012FE" w:rsidRDefault="007619F7">
      <w:pPr>
        <w:spacing w:after="240" w:line="336" w:lineRule="auto"/>
      </w:pPr>
      <w:r>
        <w:rPr>
          <w:rFonts w:ascii="Arimo" w:eastAsia="Arimo" w:hAnsi="Arimo" w:cs="Arimo"/>
          <w:color w:val="000000"/>
          <w:sz w:val="24"/>
          <w:szCs w:val="24"/>
        </w:rPr>
        <w:t xml:space="preserve">We conducted a retrospective, observational prediction-model study using routinely collected data from an Iranian corporate occupational health-examination </w:t>
      </w:r>
      <w:proofErr w:type="spellStart"/>
      <w:r>
        <w:rPr>
          <w:rFonts w:ascii="Arimo" w:eastAsia="Arimo" w:hAnsi="Arimo" w:cs="Arimo"/>
          <w:color w:val="000000"/>
          <w:sz w:val="24"/>
          <w:szCs w:val="24"/>
        </w:rPr>
        <w:t>programme</w:t>
      </w:r>
      <w:proofErr w:type="spellEnd"/>
      <w:r>
        <w:rPr>
          <w:rFonts w:ascii="Arimo" w:eastAsia="Arimo" w:hAnsi="Arimo" w:cs="Arimo"/>
          <w:color w:val="000000"/>
          <w:sz w:val="24"/>
          <w:szCs w:val="24"/>
        </w:rPr>
        <w:t xml:space="preserve">. A retrospective design was chosen because the aim was to evaluate whether measurements already collected during periodic examinations could identify attendees more likely to have a recorded finding in an additional module, without altering clinical practice. The study is a development-and-validation analysis of existing records rather than an intervention study. Visits, rather than individuals, were the unit of prediction. Sample size was determined by the available export rather than by a prospective precision calculation.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2.2 Participants and Setting </w:t>
            </w:r>
          </w:p>
        </w:tc>
      </w:tr>
    </w:tbl>
    <w:p w:rsidR="006012FE" w:rsidRDefault="007619F7">
      <w:pPr>
        <w:spacing w:after="240" w:line="336" w:lineRule="auto"/>
      </w:pPr>
      <w:r>
        <w:rPr>
          <w:rFonts w:ascii="Arimo Bold" w:eastAsia="Arimo Bold" w:hAnsi="Arimo Bold" w:cs="Arimo Bold"/>
          <w:b/>
          <w:bCs/>
          <w:color w:val="000000"/>
          <w:sz w:val="24"/>
          <w:szCs w:val="24"/>
        </w:rPr>
        <w:t>Setting.</w:t>
      </w:r>
      <w:r>
        <w:rPr>
          <w:rFonts w:ascii="Arimo" w:eastAsia="Arimo" w:hAnsi="Arimo" w:cs="Arimo"/>
          <w:color w:val="000000"/>
          <w:sz w:val="24"/>
          <w:szCs w:val="24"/>
        </w:rPr>
        <w:t xml:space="preserve"> Examinations were performed at a single screening </w:t>
      </w:r>
      <w:proofErr w:type="spellStart"/>
      <w:r>
        <w:rPr>
          <w:rFonts w:ascii="Arimo" w:eastAsia="Arimo" w:hAnsi="Arimo" w:cs="Arimo"/>
          <w:color w:val="000000"/>
          <w:sz w:val="24"/>
          <w:szCs w:val="24"/>
        </w:rPr>
        <w:t>centre</w:t>
      </w:r>
      <w:proofErr w:type="spellEnd"/>
      <w:r>
        <w:rPr>
          <w:rFonts w:ascii="Arimo" w:eastAsia="Arimo" w:hAnsi="Arimo" w:cs="Arimo"/>
          <w:color w:val="000000"/>
          <w:sz w:val="24"/>
          <w:szCs w:val="24"/>
        </w:rPr>
        <w:t xml:space="preserve"> in Tehran, and attendees travelled to Tehran from across Iran. Attendees were referred for examination by their employing </w:t>
      </w:r>
      <w:proofErr w:type="spellStart"/>
      <w:r>
        <w:rPr>
          <w:rFonts w:ascii="Arimo" w:eastAsia="Arimo" w:hAnsi="Arimo" w:cs="Arimo"/>
          <w:color w:val="000000"/>
          <w:sz w:val="24"/>
          <w:szCs w:val="24"/>
        </w:rPr>
        <w:t>organisations</w:t>
      </w:r>
      <w:proofErr w:type="spellEnd"/>
      <w:r>
        <w:rPr>
          <w:rFonts w:ascii="Arimo" w:eastAsia="Arimo" w:hAnsi="Arimo" w:cs="Arimo"/>
          <w:color w:val="000000"/>
          <w:sz w:val="24"/>
          <w:szCs w:val="24"/>
        </w:rPr>
        <w:t xml:space="preserve">. Visits spanned 1 </w:t>
      </w:r>
      <w:proofErr w:type="spellStart"/>
      <w:r>
        <w:rPr>
          <w:rFonts w:ascii="Arimo" w:eastAsia="Arimo" w:hAnsi="Arimo" w:cs="Arimo"/>
          <w:color w:val="000000"/>
          <w:sz w:val="24"/>
          <w:szCs w:val="24"/>
        </w:rPr>
        <w:t>Farvardin</w:t>
      </w:r>
      <w:proofErr w:type="spellEnd"/>
      <w:r>
        <w:rPr>
          <w:rFonts w:ascii="Arimo" w:eastAsia="Arimo" w:hAnsi="Arimo" w:cs="Arimo"/>
          <w:color w:val="000000"/>
          <w:sz w:val="24"/>
          <w:szCs w:val="24"/>
        </w:rPr>
        <w:t xml:space="preserve"> 1398 to 31 </w:t>
      </w:r>
      <w:proofErr w:type="spellStart"/>
      <w:r>
        <w:rPr>
          <w:rFonts w:ascii="Arimo" w:eastAsia="Arimo" w:hAnsi="Arimo" w:cs="Arimo"/>
          <w:color w:val="000000"/>
          <w:sz w:val="24"/>
          <w:szCs w:val="24"/>
        </w:rPr>
        <w:lastRenderedPageBreak/>
        <w:t>Shahrivar</w:t>
      </w:r>
      <w:proofErr w:type="spellEnd"/>
      <w:r>
        <w:rPr>
          <w:rFonts w:ascii="Arimo" w:eastAsia="Arimo" w:hAnsi="Arimo" w:cs="Arimo"/>
          <w:color w:val="000000"/>
          <w:sz w:val="24"/>
          <w:szCs w:val="24"/>
        </w:rPr>
        <w:t xml:space="preserve"> 1405 in the Solar Hijri calendar, corresponding to 21 March 2019 to 22 September 2026 (approximately 7.5 years). </w:t>
      </w:r>
    </w:p>
    <w:p w:rsidR="006012FE" w:rsidRDefault="007619F7">
      <w:pPr>
        <w:spacing w:after="240" w:line="336" w:lineRule="auto"/>
      </w:pPr>
      <w:r>
        <w:rPr>
          <w:rFonts w:ascii="Arimo Bold" w:eastAsia="Arimo Bold" w:hAnsi="Arimo Bold" w:cs="Arimo Bold"/>
          <w:b/>
          <w:bCs/>
          <w:color w:val="000000"/>
          <w:sz w:val="24"/>
          <w:szCs w:val="24"/>
        </w:rPr>
        <w:t>Participants.</w:t>
      </w:r>
      <w:r>
        <w:rPr>
          <w:rFonts w:ascii="Arimo" w:eastAsia="Arimo" w:hAnsi="Arimo" w:cs="Arimo"/>
          <w:color w:val="000000"/>
          <w:sz w:val="24"/>
          <w:szCs w:val="24"/>
        </w:rPr>
        <w:t xml:space="preserve"> The merged export contained 36,885 visits and 592 fields. All available visits were retained in the source cohort. No overall complete-case restriction was imposed. Eligibility for modelling was target-specific: a visit was included for a given outcome if its derived label was non-missing, with additional sex restrictions where applicable. Visits with age outside the permitted range of 16–95 years were not excluded, but their age values were set to missing (see Section 2.3). </w:t>
      </w:r>
    </w:p>
    <w:p w:rsidR="006012FE" w:rsidRDefault="007619F7">
      <w:pPr>
        <w:spacing w:after="240" w:line="336" w:lineRule="auto"/>
      </w:pPr>
      <w:r>
        <w:rPr>
          <w:rFonts w:ascii="Arimo Bold" w:eastAsia="Arimo Bold" w:hAnsi="Arimo Bold" w:cs="Arimo Bold"/>
          <w:b/>
          <w:bCs/>
          <w:color w:val="000000"/>
          <w:sz w:val="24"/>
          <w:szCs w:val="24"/>
        </w:rPr>
        <w:t>Screening groups.</w:t>
      </w:r>
      <w:r>
        <w:rPr>
          <w:rFonts w:ascii="Arimo" w:eastAsia="Arimo" w:hAnsi="Arimo" w:cs="Arimo"/>
          <w:color w:val="000000"/>
          <w:sz w:val="24"/>
          <w:szCs w:val="24"/>
        </w:rPr>
        <w:t xml:space="preserve"> We use "screening group" for the employer/role-derived grouping variable, because its source field includes employer-related roles and other attendee categories. It does not represent a physical site, since all examinations were performed at a single </w:t>
      </w:r>
      <w:proofErr w:type="spellStart"/>
      <w:r>
        <w:rPr>
          <w:rFonts w:ascii="Arimo" w:eastAsia="Arimo" w:hAnsi="Arimo" w:cs="Arimo"/>
          <w:color w:val="000000"/>
          <w:sz w:val="24"/>
          <w:szCs w:val="24"/>
        </w:rPr>
        <w:t>centre</w:t>
      </w:r>
      <w:proofErr w:type="spellEnd"/>
      <w:r>
        <w:rPr>
          <w:rFonts w:ascii="Arimo" w:eastAsia="Arimo" w:hAnsi="Arimo" w:cs="Arimo"/>
          <w:color w:val="000000"/>
          <w:sz w:val="24"/>
          <w:szCs w:val="24"/>
        </w:rPr>
        <w:t xml:space="preserve">.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2.3 Data Collection and Preparation </w:t>
            </w:r>
          </w:p>
        </w:tc>
      </w:tr>
    </w:tbl>
    <w:p w:rsidR="006012FE" w:rsidRDefault="007619F7">
      <w:pPr>
        <w:spacing w:after="240" w:line="336" w:lineRule="auto"/>
      </w:pPr>
      <w:r>
        <w:rPr>
          <w:rFonts w:ascii="Arimo Bold" w:eastAsia="Arimo Bold" w:hAnsi="Arimo Bold" w:cs="Arimo Bold"/>
          <w:b/>
          <w:bCs/>
          <w:color w:val="000000"/>
          <w:sz w:val="24"/>
          <w:szCs w:val="24"/>
        </w:rPr>
        <w:t>Data sources and extraction.</w:t>
      </w:r>
      <w:r>
        <w:rPr>
          <w:rFonts w:ascii="Arimo" w:eastAsia="Arimo" w:hAnsi="Arimo" w:cs="Arimo"/>
          <w:color w:val="000000"/>
          <w:sz w:val="24"/>
          <w:szCs w:val="24"/>
        </w:rPr>
        <w:t xml:space="preserve"> Source records were assembled from occupational-clinic records, laboratory-information-system outputs, and imaging and specialist reports maintained across multiple operational systems. The collection team reported a twice-yearly extraction schedule, using date-bounded queries for six-month periods. The supplied archive contained 15 distinct source-file/year/part combinations: parts 1 and 2 for 1398–1404, and part 1 for 1405, which covers the first six months of that year. Original data entry was performed by routine clinic, laboratory, and imaging staff. </w:t>
      </w:r>
    </w:p>
    <w:p w:rsidR="006012FE" w:rsidRDefault="007619F7">
      <w:pPr>
        <w:spacing w:after="240" w:line="336" w:lineRule="auto"/>
      </w:pPr>
      <w:r>
        <w:rPr>
          <w:rFonts w:ascii="Arimo" w:eastAsia="Arimo" w:hAnsi="Arimo" w:cs="Arimo"/>
          <w:color w:val="000000"/>
          <w:sz w:val="24"/>
          <w:szCs w:val="24"/>
        </w:rPr>
        <w:t xml:space="preserve">Laboratory results not available as structured fields were obtained from PDF reports. Values were extracted automatically and then underwent manual quality control, with the intensity of review varying by extraction batch. Random samples, failed extractions, and suspicious values were compared with the source reports. Measurement units and reference ranges were checked, and clinically or technically suspicious values were reviewed with clinicians. </w:t>
      </w:r>
    </w:p>
    <w:p w:rsidR="006012FE" w:rsidRDefault="007619F7">
      <w:pPr>
        <w:spacing w:after="240" w:line="336" w:lineRule="auto"/>
      </w:pPr>
      <w:r>
        <w:rPr>
          <w:rFonts w:ascii="Arimo Bold" w:eastAsia="Arimo Bold" w:hAnsi="Arimo Bold" w:cs="Arimo Bold"/>
          <w:b/>
          <w:bCs/>
          <w:color w:val="000000"/>
          <w:sz w:val="24"/>
          <w:szCs w:val="24"/>
        </w:rPr>
        <w:t>Linkage, de-identification, and analysis identity groups.</w:t>
      </w:r>
      <w:r>
        <w:rPr>
          <w:rFonts w:ascii="Arimo" w:eastAsia="Arimo" w:hAnsi="Arimo" w:cs="Arimo"/>
          <w:color w:val="000000"/>
          <w:sz w:val="24"/>
          <w:szCs w:val="24"/>
        </w:rPr>
        <w:t xml:space="preserve"> According to the collection team, operational patient identifiers linked records across systems and visits before names and operational identifiers were removed, and a new anonymous </w:t>
      </w:r>
      <w:r>
        <w:rPr>
          <w:rFonts w:ascii="Arimo" w:eastAsia="Arimo" w:hAnsi="Arimo" w:cs="Arimo"/>
          <w:color w:val="000000"/>
          <w:sz w:val="24"/>
          <w:szCs w:val="24"/>
        </w:rPr>
        <w:lastRenderedPageBreak/>
        <w:t xml:space="preserve">patient identifier was retained upstream. Inspection of the supplied 592-field workbook, processed-data schema, and analysis code identified no upstream anonymous identifier or row-level crosswalk. The implemented analysis instead constructed </w:t>
      </w:r>
      <w:proofErr w:type="spellStart"/>
      <w:r>
        <w:rPr>
          <w:rFonts w:ascii="Arimo" w:eastAsia="Arimo" w:hAnsi="Arimo" w:cs="Arimo"/>
          <w:color w:val="000000"/>
          <w:sz w:val="24"/>
          <w:szCs w:val="24"/>
        </w:rPr>
        <w:t>person_id</w:t>
      </w:r>
      <w:proofErr w:type="spellEnd"/>
      <w:r>
        <w:rPr>
          <w:rFonts w:ascii="Arimo" w:eastAsia="Arimo" w:hAnsi="Arimo" w:cs="Arimo"/>
          <w:color w:val="000000"/>
          <w:sz w:val="24"/>
          <w:szCs w:val="24"/>
        </w:rPr>
        <w:t xml:space="preserve"> from recorded birth date and sex, producing 12,246 analysis identity groups. Consequently, false merges, false splits, and changes in AUROC under true-identifier grouping cannot be quantified from this archive. Absence of the identifier from the supplied archive does not imply that it was never created. Additional file 2 specifies the data needed for reconciliation. The audit identified 111 </w:t>
      </w:r>
      <w:proofErr w:type="gramStart"/>
      <w:r>
        <w:rPr>
          <w:rFonts w:ascii="Arimo" w:eastAsia="Arimo" w:hAnsi="Arimo" w:cs="Arimo"/>
          <w:color w:val="000000"/>
          <w:sz w:val="24"/>
          <w:szCs w:val="24"/>
        </w:rPr>
        <w:t>identity</w:t>
      </w:r>
      <w:proofErr w:type="gramEnd"/>
      <w:r>
        <w:rPr>
          <w:rFonts w:ascii="Arimo" w:eastAsia="Arimo" w:hAnsi="Arimo" w:cs="Arimo"/>
          <w:color w:val="000000"/>
          <w:sz w:val="24"/>
          <w:szCs w:val="24"/>
        </w:rPr>
        <w:t xml:space="preserve">–visit-date groups containing more than one record. This count is not an estimate of the proportion of incorrectly grouped individuals, and it does not distinguish duplicate visits from different people sharing the same quasi-identifier. </w:t>
      </w:r>
    </w:p>
    <w:p w:rsidR="006012FE" w:rsidRDefault="007619F7">
      <w:pPr>
        <w:spacing w:after="240" w:line="336" w:lineRule="auto"/>
      </w:pPr>
      <w:r>
        <w:rPr>
          <w:rFonts w:ascii="Arimo Bold" w:eastAsia="Arimo Bold" w:hAnsi="Arimo Bold" w:cs="Arimo Bold"/>
          <w:b/>
          <w:bCs/>
          <w:color w:val="000000"/>
          <w:sz w:val="24"/>
          <w:szCs w:val="24"/>
        </w:rPr>
        <w:t xml:space="preserve">Data </w:t>
      </w:r>
      <w:proofErr w:type="spellStart"/>
      <w:r>
        <w:rPr>
          <w:rFonts w:ascii="Arimo Bold" w:eastAsia="Arimo Bold" w:hAnsi="Arimo Bold" w:cs="Arimo Bold"/>
          <w:b/>
          <w:bCs/>
          <w:color w:val="000000"/>
          <w:sz w:val="24"/>
          <w:szCs w:val="24"/>
        </w:rPr>
        <w:t>harmonisation</w:t>
      </w:r>
      <w:proofErr w:type="spellEnd"/>
      <w:r>
        <w:rPr>
          <w:rFonts w:ascii="Arimo Bold" w:eastAsia="Arimo Bold" w:hAnsi="Arimo Bold" w:cs="Arimo Bold"/>
          <w:b/>
          <w:bCs/>
          <w:color w:val="000000"/>
          <w:sz w:val="24"/>
          <w:szCs w:val="24"/>
        </w:rPr>
        <w:t xml:space="preserve"> and cleaning.</w:t>
      </w:r>
      <w:r>
        <w:rPr>
          <w:rFonts w:ascii="Arimo" w:eastAsia="Arimo" w:hAnsi="Arimo" w:cs="Arimo"/>
          <w:color w:val="000000"/>
          <w:sz w:val="24"/>
          <w:szCs w:val="24"/>
        </w:rPr>
        <w:t xml:space="preserve"> Across extraction batches, date formats, numeric encodings, missing-value codes, measurement units, and reference-range conventions were </w:t>
      </w:r>
      <w:proofErr w:type="spellStart"/>
      <w:r>
        <w:rPr>
          <w:rFonts w:ascii="Arimo" w:eastAsia="Arimo" w:hAnsi="Arimo" w:cs="Arimo"/>
          <w:color w:val="000000"/>
          <w:sz w:val="24"/>
          <w:szCs w:val="24"/>
        </w:rPr>
        <w:t>standardised</w:t>
      </w:r>
      <w:proofErr w:type="spellEnd"/>
      <w:r>
        <w:rPr>
          <w:rFonts w:ascii="Arimo" w:eastAsia="Arimo" w:hAnsi="Arimo" w:cs="Arimo"/>
          <w:color w:val="000000"/>
          <w:sz w:val="24"/>
          <w:szCs w:val="24"/>
        </w:rPr>
        <w:t xml:space="preserve"> before merging. The cleaning pipeline converted strings denoting tests not performed or not recorded to missing values, affecting 1,780,697 cells. Core numeric values outside the programmed plausibility bounds were set to missing (73 values). These checks flag implausible entries but do not establish the underlying cause of each abnormal entry. The field labelled "</w:t>
      </w:r>
      <w:proofErr w:type="spellStart"/>
      <w:r>
        <w:rPr>
          <w:rFonts w:ascii="Arimo" w:eastAsia="Arimo" w:hAnsi="Arimo" w:cs="Arimo"/>
          <w:color w:val="000000"/>
          <w:sz w:val="24"/>
          <w:szCs w:val="24"/>
        </w:rPr>
        <w:t>bph</w:t>
      </w:r>
      <w:proofErr w:type="spellEnd"/>
      <w:r>
        <w:rPr>
          <w:rFonts w:ascii="Arimo" w:eastAsia="Arimo" w:hAnsi="Arimo" w:cs="Arimo"/>
          <w:color w:val="000000"/>
          <w:sz w:val="24"/>
          <w:szCs w:val="24"/>
        </w:rPr>
        <w:t xml:space="preserve">" was excluded because its contents represented laterality rather than the intended finding. Age was approximated as visit year minus birth year; 165 values outside the permitted range of 16–95 years, or otherwise unusable, were set to missing. </w:t>
      </w:r>
    </w:p>
    <w:p w:rsidR="006012FE" w:rsidRDefault="007619F7">
      <w:pPr>
        <w:spacing w:after="240" w:line="336" w:lineRule="auto"/>
      </w:pPr>
      <w:r>
        <w:rPr>
          <w:rFonts w:ascii="Arimo Bold" w:eastAsia="Arimo Bold" w:hAnsi="Arimo Bold" w:cs="Arimo Bold"/>
          <w:b/>
          <w:bCs/>
          <w:color w:val="000000"/>
          <w:sz w:val="24"/>
          <w:szCs w:val="24"/>
        </w:rPr>
        <w:t>Densitometry data.</w:t>
      </w:r>
      <w:r>
        <w:rPr>
          <w:rFonts w:ascii="Arimo" w:eastAsia="Arimo" w:hAnsi="Arimo" w:cs="Arimo"/>
          <w:color w:val="000000"/>
          <w:sz w:val="24"/>
          <w:szCs w:val="24"/>
        </w:rPr>
        <w:t xml:space="preserve"> Densitometry values were coalesced from anatomical-site and category-specific export columns. The outcome used categories attached to bone mineral density (BMD) at the left hip or lumbar spine, which were more widely recorded than categories attached to T-score fields. A post hoc audit compared category labels within visits having both fields at the same site and described their availability separately, thereby distinguishing paired-record disagreement from differences between marginal distributions. The source labels and numeric measurements were not independently adjudicated clinically. We therefore describe this endpoint as "recorded low bone mass," preserving its source meaning without asserting that it represents a guideline-concordant diagnosis of osteoporosis. </w:t>
      </w:r>
    </w:p>
    <w:p w:rsidR="006012FE" w:rsidRDefault="007619F7">
      <w:pPr>
        <w:spacing w:after="240" w:line="336" w:lineRule="auto"/>
      </w:pPr>
      <w:r>
        <w:rPr>
          <w:rFonts w:ascii="Arimo Bold" w:eastAsia="Arimo Bold" w:hAnsi="Arimo Bold" w:cs="Arimo Bold"/>
          <w:b/>
          <w:bCs/>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lastRenderedPageBreak/>
              <w:t xml:space="preserve">2.4 Predictors and Outcomes </w:t>
            </w:r>
          </w:p>
        </w:tc>
      </w:tr>
    </w:tbl>
    <w:p w:rsidR="006012FE" w:rsidRDefault="007619F7">
      <w:pPr>
        <w:spacing w:after="240" w:line="336" w:lineRule="auto"/>
      </w:pPr>
      <w:r>
        <w:rPr>
          <w:rFonts w:ascii="Arimo Bold" w:eastAsia="Arimo Bold" w:hAnsi="Arimo Bold" w:cs="Arimo Bold"/>
          <w:b/>
          <w:bCs/>
          <w:color w:val="000000"/>
          <w:sz w:val="24"/>
          <w:szCs w:val="24"/>
        </w:rPr>
        <w:t xml:space="preserve">2.4.1 Predictors </w:t>
      </w:r>
    </w:p>
    <w:p w:rsidR="006012FE" w:rsidRDefault="007619F7">
      <w:pPr>
        <w:spacing w:after="240" w:line="379" w:lineRule="auto"/>
      </w:pPr>
      <w:r>
        <w:rPr>
          <w:rFonts w:ascii="Arimo" w:eastAsia="Arimo" w:hAnsi="Arimo" w:cs="Arimo"/>
          <w:color w:val="000000"/>
          <w:sz w:val="24"/>
          <w:szCs w:val="24"/>
        </w:rPr>
        <w:t xml:space="preserve">The full analysis panel comprised 50 predictors: age and a male indicator; body mass index (BMI) and systolic and diastolic blood pressure; 22 variables in the chemistry block; 17 </w:t>
      </w:r>
      <w:proofErr w:type="spellStart"/>
      <w:r>
        <w:rPr>
          <w:rFonts w:ascii="Arimo" w:eastAsia="Arimo" w:hAnsi="Arimo" w:cs="Arimo"/>
          <w:color w:val="000000"/>
          <w:sz w:val="24"/>
          <w:szCs w:val="24"/>
        </w:rPr>
        <w:t>haematology</w:t>
      </w:r>
      <w:proofErr w:type="spellEnd"/>
      <w:r>
        <w:rPr>
          <w:rFonts w:ascii="Arimo" w:eastAsia="Arimo" w:hAnsi="Arimo" w:cs="Arimo"/>
          <w:color w:val="000000"/>
          <w:sz w:val="24"/>
          <w:szCs w:val="24"/>
        </w:rPr>
        <w:t xml:space="preserve"> indices; and six derived measures. The derived measures were the neutrophil-to-lymphocyte ratio, AST/ALT ratio, triglyceride/HDL ratio, non-HDL cholesterol, transferrin saturation, and pulse pressure. The chemistry block also included erythrocyte sedimentation rate (ESR) and endocrine measurements; this block name is an analytical grouping rather than a strict laboratory taxonomy. Table 1 lists the inputs. Candidate models contained 49 predictors after excluding VT D3. Additional file 1 provides all original field spellings, coding, transformations, and unit provenance. Laboratory units inferred by the project interface remain unverified against source laboratory documentation. All inputs were drawn from the same recorded visit. Because timestamps demonstrating availability before additional-test ordering were unavailable, prospective availability remains an assumption requiring workflow verification. </w:t>
      </w:r>
    </w:p>
    <w:p w:rsidR="006012FE" w:rsidRDefault="007619F7">
      <w:pPr>
        <w:spacing w:after="240" w:line="336" w:lineRule="auto"/>
      </w:pPr>
      <w:r>
        <w:rPr>
          <w:rFonts w:ascii="Arimo Bold" w:eastAsia="Arimo Bold" w:hAnsi="Arimo Bold" w:cs="Arimo Bold"/>
          <w:b/>
          <w:bCs/>
          <w:color w:val="000000"/>
          <w:sz w:val="24"/>
          <w:szCs w:val="24"/>
        </w:rPr>
        <w:t xml:space="preserve">Table 1. Predictor inventory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4515"/>
        <w:gridCol w:w="4515"/>
      </w:tblGrid>
      <w:tr w:rsidR="006012FE">
        <w:tc>
          <w:tcPr>
            <w:tcW w:w="4515" w:type="dxa"/>
            <w:tcMar>
              <w:top w:w="180" w:type="dxa"/>
              <w:left w:w="180" w:type="dxa"/>
              <w:bottom w:w="180" w:type="dxa"/>
              <w:right w:w="180" w:type="dxa"/>
            </w:tcMar>
          </w:tcPr>
          <w:p w:rsidR="006012FE" w:rsidRDefault="007619F7">
            <w:pPr>
              <w:spacing w:after="240" w:line="336" w:lineRule="auto"/>
            </w:pPr>
            <w:r>
              <w:rPr>
                <w:rFonts w:ascii="Arimo Bold" w:eastAsia="Arimo Bold" w:hAnsi="Arimo Bold" w:cs="Arimo Bold"/>
                <w:b/>
                <w:bCs/>
                <w:color w:val="000000"/>
                <w:sz w:val="24"/>
                <w:szCs w:val="24"/>
              </w:rPr>
              <w:t xml:space="preserve">Block </w:t>
            </w:r>
          </w:p>
        </w:tc>
        <w:tc>
          <w:tcPr>
            <w:tcW w:w="4515" w:type="dxa"/>
            <w:tcMar>
              <w:top w:w="180" w:type="dxa"/>
              <w:left w:w="180" w:type="dxa"/>
              <w:bottom w:w="180" w:type="dxa"/>
              <w:right w:w="180" w:type="dxa"/>
            </w:tcMar>
          </w:tcPr>
          <w:p w:rsidR="006012FE" w:rsidRDefault="007619F7">
            <w:pPr>
              <w:spacing w:after="240" w:line="336" w:lineRule="auto"/>
            </w:pPr>
            <w:r>
              <w:rPr>
                <w:rFonts w:ascii="Arimo Bold" w:eastAsia="Arimo Bold" w:hAnsi="Arimo Bold" w:cs="Arimo Bold"/>
                <w:b/>
                <w:bCs/>
                <w:color w:val="000000"/>
                <w:sz w:val="24"/>
                <w:szCs w:val="24"/>
              </w:rPr>
              <w:t xml:space="preserve">Variables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Bold" w:eastAsia="Arimo Bold" w:hAnsi="Arimo Bold" w:cs="Arimo Bold"/>
                <w:b/>
                <w:bCs/>
                <w:color w:val="000000"/>
                <w:sz w:val="24"/>
                <w:szCs w:val="24"/>
              </w:rPr>
              <w:t xml:space="preserve">Demographics </w:t>
            </w:r>
          </w:p>
        </w:tc>
        <w:tc>
          <w:tcPr>
            <w:tcW w:w="4515" w:type="dxa"/>
            <w:tcMar>
              <w:top w:w="180" w:type="dxa"/>
              <w:left w:w="180" w:type="dxa"/>
              <w:bottom w:w="180" w:type="dxa"/>
              <w:right w:w="180" w:type="dxa"/>
            </w:tcMar>
          </w:tcPr>
          <w:p w:rsidR="006012FE" w:rsidRDefault="007619F7">
            <w:pPr>
              <w:spacing w:after="240" w:line="336" w:lineRule="auto"/>
            </w:pPr>
            <w:r>
              <w:rPr>
                <w:rFonts w:ascii="Arimo Bold" w:eastAsia="Arimo Bold" w:hAnsi="Arimo Bold" w:cs="Arimo Bold"/>
                <w:b/>
                <w:bCs/>
                <w:color w:val="000000"/>
                <w:sz w:val="24"/>
                <w:szCs w:val="24"/>
              </w:rPr>
              <w:t xml:space="preserve">Age; male indicator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Bold" w:eastAsia="Arimo Bold" w:hAnsi="Arimo Bold" w:cs="Arimo Bold"/>
                <w:b/>
                <w:bCs/>
                <w:color w:val="000000"/>
                <w:sz w:val="24"/>
                <w:szCs w:val="24"/>
              </w:rPr>
              <w:t xml:space="preserve">Vital measurements </w:t>
            </w:r>
          </w:p>
        </w:tc>
        <w:tc>
          <w:tcPr>
            <w:tcW w:w="4515" w:type="dxa"/>
            <w:tcMar>
              <w:top w:w="180" w:type="dxa"/>
              <w:left w:w="180" w:type="dxa"/>
              <w:bottom w:w="180" w:type="dxa"/>
              <w:right w:w="180" w:type="dxa"/>
            </w:tcMar>
          </w:tcPr>
          <w:p w:rsidR="006012FE" w:rsidRDefault="007619F7">
            <w:pPr>
              <w:spacing w:after="240" w:line="336" w:lineRule="auto"/>
            </w:pPr>
            <w:r>
              <w:rPr>
                <w:rFonts w:ascii="Arimo Bold" w:eastAsia="Arimo Bold" w:hAnsi="Arimo Bold" w:cs="Arimo Bold"/>
                <w:b/>
                <w:bCs/>
                <w:color w:val="000000"/>
                <w:sz w:val="24"/>
                <w:szCs w:val="24"/>
              </w:rPr>
              <w:t xml:space="preserve">BMI; systolic and diastolic blood pressure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Bold" w:eastAsia="Arimo Bold" w:hAnsi="Arimo Bold" w:cs="Arimo Bold"/>
                <w:b/>
                <w:bCs/>
                <w:color w:val="000000"/>
                <w:sz w:val="24"/>
                <w:szCs w:val="24"/>
              </w:rPr>
              <w:t xml:space="preserve">Chemistry block </w:t>
            </w:r>
          </w:p>
        </w:tc>
        <w:tc>
          <w:tcPr>
            <w:tcW w:w="4515" w:type="dxa"/>
            <w:tcMar>
              <w:top w:w="180" w:type="dxa"/>
              <w:left w:w="180" w:type="dxa"/>
              <w:bottom w:w="180" w:type="dxa"/>
              <w:right w:w="180" w:type="dxa"/>
            </w:tcMar>
          </w:tcPr>
          <w:p w:rsidR="006012FE" w:rsidRDefault="007619F7">
            <w:pPr>
              <w:spacing w:after="240" w:line="336" w:lineRule="auto"/>
            </w:pPr>
            <w:r>
              <w:rPr>
                <w:rFonts w:ascii="Arimo Bold" w:eastAsia="Arimo Bold" w:hAnsi="Arimo Bold" w:cs="Arimo Bold"/>
                <w:b/>
                <w:bCs/>
                <w:color w:val="000000"/>
                <w:sz w:val="24"/>
                <w:szCs w:val="24"/>
              </w:rPr>
              <w:t xml:space="preserve">Fasting glucose; urea; creatinine; uric acid; total cholesterol; triglycerides; HDL; LDL; calcium; phosphorus; total and direct </w:t>
            </w:r>
            <w:r>
              <w:rPr>
                <w:rFonts w:ascii="Arimo Bold" w:eastAsia="Arimo Bold" w:hAnsi="Arimo Bold" w:cs="Arimo Bold"/>
                <w:b/>
                <w:bCs/>
                <w:color w:val="000000"/>
                <w:sz w:val="24"/>
                <w:szCs w:val="24"/>
              </w:rPr>
              <w:lastRenderedPageBreak/>
              <w:t xml:space="preserve">bilirubin; AST; ALT; alkaline phosphatase; ESR; TSH; VT D3; ferritin; iron; TIBC; HbA1c </w:t>
            </w:r>
          </w:p>
        </w:tc>
      </w:tr>
      <w:tr w:rsidR="006012FE">
        <w:tc>
          <w:tcPr>
            <w:tcW w:w="4515" w:type="dxa"/>
            <w:tcMar>
              <w:top w:w="180" w:type="dxa"/>
              <w:left w:w="180" w:type="dxa"/>
              <w:bottom w:w="180" w:type="dxa"/>
              <w:right w:w="180" w:type="dxa"/>
            </w:tcMar>
          </w:tcPr>
          <w:p w:rsidR="006012FE" w:rsidRDefault="007619F7">
            <w:pPr>
              <w:spacing w:after="240" w:line="336" w:lineRule="auto"/>
            </w:pPr>
            <w:proofErr w:type="spellStart"/>
            <w:r>
              <w:rPr>
                <w:rFonts w:ascii="Arimo Bold" w:eastAsia="Arimo Bold" w:hAnsi="Arimo Bold" w:cs="Arimo Bold"/>
                <w:b/>
                <w:bCs/>
                <w:color w:val="000000"/>
                <w:sz w:val="24"/>
                <w:szCs w:val="24"/>
              </w:rPr>
              <w:lastRenderedPageBreak/>
              <w:t>Haematology</w:t>
            </w:r>
            <w:proofErr w:type="spellEnd"/>
            <w:r>
              <w:rPr>
                <w:rFonts w:ascii="Arimo Bold" w:eastAsia="Arimo Bold" w:hAnsi="Arimo Bold" w:cs="Arimo Bold"/>
                <w:b/>
                <w:bCs/>
                <w:color w:val="000000"/>
                <w:sz w:val="24"/>
                <w:szCs w:val="24"/>
              </w:rPr>
              <w:t xml:space="preserve"> </w:t>
            </w:r>
          </w:p>
        </w:tc>
        <w:tc>
          <w:tcPr>
            <w:tcW w:w="4515" w:type="dxa"/>
            <w:tcMar>
              <w:top w:w="180" w:type="dxa"/>
              <w:left w:w="180" w:type="dxa"/>
              <w:bottom w:w="180" w:type="dxa"/>
              <w:right w:w="180" w:type="dxa"/>
            </w:tcMar>
          </w:tcPr>
          <w:p w:rsidR="006012FE" w:rsidRDefault="007619F7">
            <w:pPr>
              <w:spacing w:after="240" w:line="336" w:lineRule="auto"/>
            </w:pPr>
            <w:proofErr w:type="spellStart"/>
            <w:r>
              <w:rPr>
                <w:rFonts w:ascii="Arimo Bold" w:eastAsia="Arimo Bold" w:hAnsi="Arimo Bold" w:cs="Arimo Bold"/>
                <w:b/>
                <w:bCs/>
                <w:color w:val="000000"/>
                <w:sz w:val="24"/>
                <w:szCs w:val="24"/>
              </w:rPr>
              <w:t>Haemoglobin</w:t>
            </w:r>
            <w:proofErr w:type="spellEnd"/>
            <w:r>
              <w:rPr>
                <w:rFonts w:ascii="Arimo Bold" w:eastAsia="Arimo Bold" w:hAnsi="Arimo Bold" w:cs="Arimo Bold"/>
                <w:b/>
                <w:bCs/>
                <w:color w:val="000000"/>
                <w:sz w:val="24"/>
                <w:szCs w:val="24"/>
              </w:rPr>
              <w:t xml:space="preserve">; </w:t>
            </w:r>
            <w:proofErr w:type="spellStart"/>
            <w:r>
              <w:rPr>
                <w:rFonts w:ascii="Arimo Bold" w:eastAsia="Arimo Bold" w:hAnsi="Arimo Bold" w:cs="Arimo Bold"/>
                <w:b/>
                <w:bCs/>
                <w:color w:val="000000"/>
                <w:sz w:val="24"/>
                <w:szCs w:val="24"/>
              </w:rPr>
              <w:t>haematocrit</w:t>
            </w:r>
            <w:proofErr w:type="spellEnd"/>
            <w:r>
              <w:rPr>
                <w:rFonts w:ascii="Arimo Bold" w:eastAsia="Arimo Bold" w:hAnsi="Arimo Bold" w:cs="Arimo Bold"/>
                <w:b/>
                <w:bCs/>
                <w:color w:val="000000"/>
                <w:sz w:val="24"/>
                <w:szCs w:val="24"/>
              </w:rPr>
              <w:t xml:space="preserve">; MCV; MCH; MCHC; platelets; RDW-CV; RDW-SD; white and red cell counts; neutrophil, lymphocyte, monocyte, eosinophil, and basophil indices; MPV; PDW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Bold" w:eastAsia="Arimo Bold" w:hAnsi="Arimo Bold" w:cs="Arimo Bold"/>
                <w:b/>
                <w:bCs/>
                <w:color w:val="000000"/>
                <w:sz w:val="24"/>
                <w:szCs w:val="24"/>
              </w:rPr>
              <w:t xml:space="preserve">Derived measures </w:t>
            </w:r>
          </w:p>
        </w:tc>
        <w:tc>
          <w:tcPr>
            <w:tcW w:w="4515" w:type="dxa"/>
            <w:tcMar>
              <w:top w:w="180" w:type="dxa"/>
              <w:left w:w="180" w:type="dxa"/>
              <w:bottom w:w="180" w:type="dxa"/>
              <w:right w:w="180" w:type="dxa"/>
            </w:tcMar>
          </w:tcPr>
          <w:p w:rsidR="006012FE" w:rsidRDefault="007619F7">
            <w:pPr>
              <w:spacing w:after="240" w:line="336" w:lineRule="auto"/>
            </w:pPr>
            <w:r>
              <w:rPr>
                <w:rFonts w:ascii="Arimo Bold" w:eastAsia="Arimo Bold" w:hAnsi="Arimo Bold" w:cs="Arimo Bold"/>
                <w:b/>
                <w:bCs/>
                <w:color w:val="000000"/>
                <w:sz w:val="24"/>
                <w:szCs w:val="24"/>
              </w:rPr>
              <w:t xml:space="preserve">Neutrophils/lymphocytes; AST/ALT; triglycerides/HDL; total cholesterol minus HDL; 100 × iron/TIBC; systolic minus diastolic blood pressure </w:t>
            </w:r>
          </w:p>
        </w:tc>
      </w:tr>
    </w:tbl>
    <w:p w:rsidR="0010799E" w:rsidRDefault="0010799E">
      <w:pPr>
        <w:spacing w:after="240" w:line="336" w:lineRule="auto"/>
        <w:rPr>
          <w:rFonts w:ascii="Arimo Bold" w:eastAsia="Arimo Bold" w:hAnsi="Arimo Bold" w:cs="Arimo Bold"/>
          <w:b/>
          <w:bCs/>
          <w:color w:val="000000"/>
          <w:sz w:val="24"/>
          <w:szCs w:val="24"/>
        </w:rPr>
      </w:pPr>
    </w:p>
    <w:p w:rsidR="006012FE" w:rsidRDefault="007619F7">
      <w:pPr>
        <w:spacing w:after="240" w:line="336" w:lineRule="auto"/>
      </w:pPr>
      <w:r>
        <w:rPr>
          <w:rFonts w:ascii="Arimo Bold" w:eastAsia="Arimo Bold" w:hAnsi="Arimo Bold" w:cs="Arimo Bold"/>
          <w:b/>
          <w:bCs/>
          <w:color w:val="000000"/>
          <w:sz w:val="24"/>
          <w:szCs w:val="24"/>
        </w:rPr>
        <w:t xml:space="preserve">2.4.2 Outcomes </w:t>
      </w:r>
    </w:p>
    <w:p w:rsidR="006012FE" w:rsidRDefault="007619F7">
      <w:pPr>
        <w:spacing w:after="240" w:line="336" w:lineRule="auto"/>
      </w:pPr>
      <w:r>
        <w:rPr>
          <w:rFonts w:ascii="Arimo" w:eastAsia="Arimo" w:hAnsi="Arimo" w:cs="Arimo"/>
          <w:color w:val="000000"/>
          <w:sz w:val="24"/>
          <w:szCs w:val="24"/>
        </w:rPr>
        <w:t xml:space="preserve">Twelve binary endpoints were constructed from recorded module fields. A missing target label excluded a visit only from that target's analysis, so each endpoint has its own observed-label sample. Prostate and mammography labels were restricted to recorded male and female attendees, respectively. </w:t>
      </w:r>
    </w:p>
    <w:p w:rsidR="006012FE" w:rsidRDefault="007619F7">
      <w:pPr>
        <w:spacing w:after="240" w:line="336" w:lineRule="auto"/>
      </w:pPr>
      <w:r>
        <w:rPr>
          <w:rFonts w:ascii="Arimo" w:eastAsia="Arimo" w:hAnsi="Arimo" w:cs="Arimo"/>
          <w:color w:val="000000"/>
          <w:sz w:val="24"/>
          <w:szCs w:val="24"/>
        </w:rPr>
        <w:t>Recorded low bone mass was positive when either available BMD-filed left-hip or lumbar-spine category was osteopenia or osteoporosis. A negative label could be assigned when one available site was normal and the other site was missing. Heterogeneous prostate echotexture used the exact source category "</w:t>
      </w:r>
      <w:proofErr w:type="spellStart"/>
      <w:r>
        <w:rPr>
          <w:rFonts w:ascii="Arimo" w:eastAsia="Arimo" w:hAnsi="Arimo" w:cs="Arimo"/>
          <w:color w:val="000000"/>
          <w:sz w:val="24"/>
          <w:szCs w:val="24"/>
        </w:rPr>
        <w:t>Hetrogeneous</w:t>
      </w:r>
      <w:proofErr w:type="spellEnd"/>
      <w:r>
        <w:rPr>
          <w:rFonts w:ascii="Arimo" w:eastAsia="Arimo" w:hAnsi="Arimo" w:cs="Arimo"/>
          <w:color w:val="000000"/>
          <w:sz w:val="24"/>
          <w:szCs w:val="24"/>
        </w:rPr>
        <w:t xml:space="preserve">". Ultrasound stone and </w:t>
      </w:r>
      <w:proofErr w:type="spellStart"/>
      <w:r>
        <w:rPr>
          <w:rFonts w:ascii="Arimo" w:eastAsia="Arimo" w:hAnsi="Arimo" w:cs="Arimo"/>
          <w:color w:val="000000"/>
          <w:sz w:val="24"/>
          <w:szCs w:val="24"/>
        </w:rPr>
        <w:t>hydronephrosis</w:t>
      </w:r>
      <w:proofErr w:type="spellEnd"/>
      <w:r>
        <w:rPr>
          <w:rFonts w:ascii="Arimo" w:eastAsia="Arimo" w:hAnsi="Arimo" w:cs="Arimo"/>
          <w:color w:val="000000"/>
          <w:sz w:val="24"/>
          <w:szCs w:val="24"/>
        </w:rPr>
        <w:t xml:space="preserve"> endpoints used affirmative source values. Nephrolithiasis and kidney stone were separate source fields and were not assumed to define independent diseases. Mammography included </w:t>
      </w:r>
      <w:proofErr w:type="spellStart"/>
      <w:r>
        <w:rPr>
          <w:rFonts w:ascii="Arimo" w:eastAsia="Arimo" w:hAnsi="Arimo" w:cs="Arimo"/>
          <w:color w:val="000000"/>
          <w:sz w:val="24"/>
          <w:szCs w:val="24"/>
        </w:rPr>
        <w:t>recognised</w:t>
      </w:r>
      <w:proofErr w:type="spellEnd"/>
      <w:r>
        <w:rPr>
          <w:rFonts w:ascii="Arimo" w:eastAsia="Arimo" w:hAnsi="Arimo" w:cs="Arimo"/>
          <w:color w:val="000000"/>
          <w:sz w:val="24"/>
          <w:szCs w:val="24"/>
        </w:rPr>
        <w:t xml:space="preserve"> BI-RADS categories 1–6, with categories 3–6 classified as positive. The K6 endpoint used a recorded score of at least 13; K6 is a brief measure of </w:t>
      </w:r>
      <w:r>
        <w:rPr>
          <w:rFonts w:ascii="Arimo" w:eastAsia="Arimo" w:hAnsi="Arimo" w:cs="Arimo"/>
          <w:color w:val="000000"/>
          <w:sz w:val="24"/>
          <w:szCs w:val="24"/>
        </w:rPr>
        <w:lastRenderedPageBreak/>
        <w:t xml:space="preserve">nonspecific psychological distress [11]. Exact mappings for echocardiography, carotid assessment, and toxicology are provided in Table 2. </w:t>
      </w:r>
    </w:p>
    <w:p w:rsidR="006012FE" w:rsidRDefault="007619F7">
      <w:pPr>
        <w:spacing w:after="240" w:line="336" w:lineRule="auto"/>
      </w:pPr>
      <w:r>
        <w:rPr>
          <w:rFonts w:ascii="Arimo Bold" w:eastAsia="Arimo Bold" w:hAnsi="Arimo Bold" w:cs="Arimo Bold"/>
          <w:b/>
          <w:bCs/>
          <w:color w:val="000000"/>
          <w:sz w:val="24"/>
          <w:szCs w:val="24"/>
        </w:rPr>
        <w:t xml:space="preserve">Table 2. Implemented target mappings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4515"/>
        <w:gridCol w:w="4515"/>
      </w:tblGrid>
      <w:tr w:rsidR="006012FE">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Endpoint </w:t>
            </w:r>
          </w:p>
        </w:tc>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Operational definition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Low bone mass </w:t>
            </w:r>
          </w:p>
        </w:tc>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At least one available left-hip or lumbar-spine BMD-filed category is osteopenia/osteoporosis. Available normal site(s) otherwise yield a negative label.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w:t>
            </w:r>
          </w:p>
        </w:tc>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Exact positive source value: </w:t>
            </w:r>
            <w:proofErr w:type="spellStart"/>
            <w:r>
              <w:rPr>
                <w:rFonts w:ascii="Arimo" w:eastAsia="Arimo" w:hAnsi="Arimo" w:cs="Arimo"/>
                <w:color w:val="000000"/>
                <w:sz w:val="24"/>
                <w:szCs w:val="24"/>
              </w:rPr>
              <w:t>Hetrogeneous</w:t>
            </w:r>
            <w:proofErr w:type="spellEnd"/>
            <w:r>
              <w:rPr>
                <w:rFonts w:ascii="Arimo" w:eastAsia="Arimo" w:hAnsi="Arimo" w:cs="Arimo"/>
                <w:color w:val="000000"/>
                <w:sz w:val="24"/>
                <w:szCs w:val="24"/>
              </w:rPr>
              <w:t xml:space="preserve">. Other non-missing values are negative; restricted to recorded males.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Ultrasound stones / </w:t>
            </w:r>
            <w:proofErr w:type="spellStart"/>
            <w:r>
              <w:rPr>
                <w:rFonts w:ascii="Arimo" w:eastAsia="Arimo" w:hAnsi="Arimo" w:cs="Arimo"/>
                <w:color w:val="000000"/>
                <w:sz w:val="24"/>
                <w:szCs w:val="24"/>
              </w:rPr>
              <w:t>hydronephrosis</w:t>
            </w:r>
            <w:proofErr w:type="spellEnd"/>
            <w:r>
              <w:rPr>
                <w:rFonts w:ascii="Arimo" w:eastAsia="Arimo" w:hAnsi="Arimo" w:cs="Arimo"/>
                <w:color w:val="000000"/>
                <w:sz w:val="24"/>
                <w:szCs w:val="24"/>
              </w:rPr>
              <w:t xml:space="preserve"> </w:t>
            </w:r>
          </w:p>
        </w:tc>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Each respective field is positive for yes, Yes, or YES. Other non-missing strings are negative. Kidney stone and nephrolithiasis remain separate source fields.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Mitral valve abnormality </w:t>
            </w:r>
          </w:p>
        </w:tc>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Any non-missing value other than "Mitral valve - normal".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Mitral regurgitation </w:t>
            </w:r>
          </w:p>
        </w:tc>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Positive exact categories: MR - mild; MR - mild to moderate; MR - moderate; MR - moderate to severe. Other non-missing entries are </w:t>
            </w:r>
            <w:r>
              <w:rPr>
                <w:rFonts w:ascii="Arimo" w:eastAsia="Arimo" w:hAnsi="Arimo" w:cs="Arimo"/>
                <w:color w:val="000000"/>
                <w:sz w:val="24"/>
                <w:szCs w:val="24"/>
              </w:rPr>
              <w:lastRenderedPageBreak/>
              <w:t xml:space="preserve">negative; no severe-only category was observed in the processed data.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lastRenderedPageBreak/>
              <w:t xml:space="preserve">Carotid abnormality </w:t>
            </w:r>
          </w:p>
        </w:tc>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Any available </w:t>
            </w:r>
            <w:proofErr w:type="spellStart"/>
            <w:r>
              <w:rPr>
                <w:rFonts w:ascii="Arimo" w:eastAsia="Arimo" w:hAnsi="Arimo" w:cs="Arimo"/>
                <w:color w:val="000000"/>
                <w:sz w:val="24"/>
                <w:szCs w:val="24"/>
              </w:rPr>
              <w:t>rcca</w:t>
            </w:r>
            <w:proofErr w:type="spellEnd"/>
            <w:r>
              <w:rPr>
                <w:rFonts w:ascii="Arimo" w:eastAsia="Arimo" w:hAnsi="Arimo" w:cs="Arimo"/>
                <w:color w:val="000000"/>
                <w:sz w:val="24"/>
                <w:szCs w:val="24"/>
              </w:rPr>
              <w:t xml:space="preserve">, </w:t>
            </w:r>
            <w:proofErr w:type="spellStart"/>
            <w:r>
              <w:rPr>
                <w:rFonts w:ascii="Arimo" w:eastAsia="Arimo" w:hAnsi="Arimo" w:cs="Arimo"/>
                <w:color w:val="000000"/>
                <w:sz w:val="24"/>
                <w:szCs w:val="24"/>
              </w:rPr>
              <w:t>rica</w:t>
            </w:r>
            <w:proofErr w:type="spellEnd"/>
            <w:r>
              <w:rPr>
                <w:rFonts w:ascii="Arimo" w:eastAsia="Arimo" w:hAnsi="Arimo" w:cs="Arimo"/>
                <w:color w:val="000000"/>
                <w:sz w:val="24"/>
                <w:szCs w:val="24"/>
              </w:rPr>
              <w:t xml:space="preserve">, </w:t>
            </w:r>
            <w:proofErr w:type="spellStart"/>
            <w:r>
              <w:rPr>
                <w:rFonts w:ascii="Arimo" w:eastAsia="Arimo" w:hAnsi="Arimo" w:cs="Arimo"/>
                <w:color w:val="000000"/>
                <w:sz w:val="24"/>
                <w:szCs w:val="24"/>
              </w:rPr>
              <w:t>reca</w:t>
            </w:r>
            <w:proofErr w:type="spellEnd"/>
            <w:r>
              <w:rPr>
                <w:rFonts w:ascii="Arimo" w:eastAsia="Arimo" w:hAnsi="Arimo" w:cs="Arimo"/>
                <w:color w:val="000000"/>
                <w:sz w:val="24"/>
                <w:szCs w:val="24"/>
              </w:rPr>
              <w:t xml:space="preserve">, </w:t>
            </w:r>
            <w:proofErr w:type="spellStart"/>
            <w:r>
              <w:rPr>
                <w:rFonts w:ascii="Arimo" w:eastAsia="Arimo" w:hAnsi="Arimo" w:cs="Arimo"/>
                <w:color w:val="000000"/>
                <w:sz w:val="24"/>
                <w:szCs w:val="24"/>
              </w:rPr>
              <w:t>lcca</w:t>
            </w:r>
            <w:proofErr w:type="spellEnd"/>
            <w:r>
              <w:rPr>
                <w:rFonts w:ascii="Arimo" w:eastAsia="Arimo" w:hAnsi="Arimo" w:cs="Arimo"/>
                <w:color w:val="000000"/>
                <w:sz w:val="24"/>
                <w:szCs w:val="24"/>
              </w:rPr>
              <w:t xml:space="preserve">, </w:t>
            </w:r>
            <w:proofErr w:type="spellStart"/>
            <w:r>
              <w:rPr>
                <w:rFonts w:ascii="Arimo" w:eastAsia="Arimo" w:hAnsi="Arimo" w:cs="Arimo"/>
                <w:color w:val="000000"/>
                <w:sz w:val="24"/>
                <w:szCs w:val="24"/>
              </w:rPr>
              <w:t>lica</w:t>
            </w:r>
            <w:proofErr w:type="spellEnd"/>
            <w:r>
              <w:rPr>
                <w:rFonts w:ascii="Arimo" w:eastAsia="Arimo" w:hAnsi="Arimo" w:cs="Arimo"/>
                <w:color w:val="000000"/>
                <w:sz w:val="24"/>
                <w:szCs w:val="24"/>
              </w:rPr>
              <w:t xml:space="preserve"> or </w:t>
            </w:r>
            <w:proofErr w:type="spellStart"/>
            <w:r>
              <w:rPr>
                <w:rFonts w:ascii="Arimo" w:eastAsia="Arimo" w:hAnsi="Arimo" w:cs="Arimo"/>
                <w:color w:val="000000"/>
                <w:sz w:val="24"/>
                <w:szCs w:val="24"/>
              </w:rPr>
              <w:t>leca</w:t>
            </w:r>
            <w:proofErr w:type="spellEnd"/>
            <w:r>
              <w:rPr>
                <w:rFonts w:ascii="Arimo" w:eastAsia="Arimo" w:hAnsi="Arimo" w:cs="Arimo"/>
                <w:color w:val="000000"/>
                <w:sz w:val="24"/>
                <w:szCs w:val="24"/>
              </w:rPr>
              <w:t xml:space="preserve"> value other than "No plaque" or "No stenosis".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Mammography </w:t>
            </w:r>
          </w:p>
        </w:tc>
        <w:tc>
          <w:tcPr>
            <w:tcW w:w="4515" w:type="dxa"/>
            <w:tcMar>
              <w:top w:w="180" w:type="dxa"/>
              <w:left w:w="180" w:type="dxa"/>
              <w:bottom w:w="180" w:type="dxa"/>
              <w:right w:w="180" w:type="dxa"/>
            </w:tcMar>
          </w:tcPr>
          <w:p w:rsidR="006012FE" w:rsidRDefault="007619F7">
            <w:pPr>
              <w:spacing w:after="240" w:line="336" w:lineRule="auto"/>
            </w:pPr>
            <w:proofErr w:type="spellStart"/>
            <w:r>
              <w:rPr>
                <w:rFonts w:ascii="Arimo" w:eastAsia="Arimo" w:hAnsi="Arimo" w:cs="Arimo"/>
                <w:color w:val="000000"/>
                <w:sz w:val="24"/>
                <w:szCs w:val="24"/>
              </w:rPr>
              <w:t>Recognised</w:t>
            </w:r>
            <w:proofErr w:type="spellEnd"/>
            <w:r>
              <w:rPr>
                <w:rFonts w:ascii="Arimo" w:eastAsia="Arimo" w:hAnsi="Arimo" w:cs="Arimo"/>
                <w:color w:val="000000"/>
                <w:sz w:val="24"/>
                <w:szCs w:val="24"/>
              </w:rPr>
              <w:t xml:space="preserve"> BI-RADS 3–6 </w:t>
            </w:r>
            <w:proofErr w:type="gramStart"/>
            <w:r>
              <w:rPr>
                <w:rFonts w:ascii="Arimo" w:eastAsia="Arimo" w:hAnsi="Arimo" w:cs="Arimo"/>
                <w:color w:val="000000"/>
                <w:sz w:val="24"/>
                <w:szCs w:val="24"/>
              </w:rPr>
              <w:t>positive</w:t>
            </w:r>
            <w:proofErr w:type="gramEnd"/>
            <w:r>
              <w:rPr>
                <w:rFonts w:ascii="Arimo" w:eastAsia="Arimo" w:hAnsi="Arimo" w:cs="Arimo"/>
                <w:color w:val="000000"/>
                <w:sz w:val="24"/>
                <w:szCs w:val="24"/>
              </w:rPr>
              <w:t xml:space="preserve">, 1–2 negative; other or missing categories excluded; restricted to recorded females.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K6 score </w:t>
            </w:r>
          </w:p>
        </w:tc>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Numeric score ≥13 positive; other observed numeric scores negative.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Urine toxicology </w:t>
            </w:r>
          </w:p>
        </w:tc>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At least one available drug field and any field containing "Positive". Otherwise negative if any drug field is observed; this does not require a complete panel. </w:t>
            </w:r>
          </w:p>
        </w:tc>
      </w:tr>
    </w:tbl>
    <w:p w:rsidR="0010799E" w:rsidRDefault="0010799E">
      <w:pPr>
        <w:spacing w:after="240" w:line="336" w:lineRule="auto"/>
        <w:rPr>
          <w:rFonts w:ascii="Arimo" w:eastAsia="Arimo" w:hAnsi="Arimo" w:cs="Arimo"/>
          <w:color w:val="000000"/>
          <w:sz w:val="24"/>
          <w:szCs w:val="24"/>
        </w:rPr>
      </w:pPr>
    </w:p>
    <w:p w:rsidR="006012FE" w:rsidRDefault="007619F7">
      <w:pPr>
        <w:spacing w:after="240" w:line="336" w:lineRule="auto"/>
      </w:pPr>
      <w:r>
        <w:rPr>
          <w:rFonts w:ascii="Arimo" w:eastAsia="Arimo" w:hAnsi="Arimo" w:cs="Arimo"/>
          <w:color w:val="000000"/>
          <w:sz w:val="24"/>
          <w:szCs w:val="24"/>
        </w:rPr>
        <w:t xml:space="preserve">Definitions describe the implemented coding. The four ultrasound affirmative fields and the prostate field contained only their expected categories, and no severe-only mitral regurgitation value was observed. Carotid categories and incomplete multi-field endpoints require further clinical review. </w:t>
      </w:r>
    </w:p>
    <w:p w:rsidR="006012FE" w:rsidRDefault="007619F7">
      <w:pPr>
        <w:spacing w:after="240" w:line="336" w:lineRule="auto"/>
      </w:pPr>
      <w:r>
        <w:rPr>
          <w:rFonts w:ascii="Arimo" w:eastAsia="Arimo" w:hAnsi="Arimo" w:cs="Arimo"/>
          <w:color w:val="000000"/>
          <w:sz w:val="24"/>
          <w:szCs w:val="24"/>
        </w:rPr>
        <w:t xml:space="preserve">Gallstones were designated a negative control in the project code, but contemporaneous </w:t>
      </w:r>
      <w:proofErr w:type="spellStart"/>
      <w:r>
        <w:rPr>
          <w:rFonts w:ascii="Arimo" w:eastAsia="Arimo" w:hAnsi="Arimo" w:cs="Arimo"/>
          <w:color w:val="000000"/>
          <w:sz w:val="24"/>
          <w:szCs w:val="24"/>
        </w:rPr>
        <w:t>prespecification</w:t>
      </w:r>
      <w:proofErr w:type="spellEnd"/>
      <w:r>
        <w:rPr>
          <w:rFonts w:ascii="Arimo" w:eastAsia="Arimo" w:hAnsi="Arimo" w:cs="Arimo"/>
          <w:color w:val="000000"/>
          <w:sz w:val="24"/>
          <w:szCs w:val="24"/>
        </w:rPr>
        <w:t xml:space="preserve"> of a null association could not be verified. We therefore report gallstones as an exploratory comparator and do not use cross-target AUROC differences as formal clinical validation criteria.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lastRenderedPageBreak/>
              <w:t xml:space="preserve">2.5 Statistical Analysis </w:t>
            </w:r>
          </w:p>
        </w:tc>
      </w:tr>
    </w:tbl>
    <w:p w:rsidR="006012FE" w:rsidRDefault="007619F7">
      <w:pPr>
        <w:spacing w:after="240" w:line="336" w:lineRule="auto"/>
      </w:pPr>
      <w:r>
        <w:rPr>
          <w:rFonts w:ascii="Arimo Bold" w:eastAsia="Arimo Bold" w:hAnsi="Arimo Bold" w:cs="Arimo Bold"/>
          <w:b/>
          <w:bCs/>
          <w:color w:val="000000"/>
          <w:sz w:val="24"/>
          <w:szCs w:val="24"/>
        </w:rPr>
        <w:t xml:space="preserve">2.5.1 Feature sets and missing data </w:t>
      </w:r>
    </w:p>
    <w:p w:rsidR="006012FE" w:rsidRDefault="007619F7">
      <w:pPr>
        <w:spacing w:after="240" w:line="336" w:lineRule="auto"/>
      </w:pPr>
      <w:r>
        <w:rPr>
          <w:rFonts w:ascii="Arimo" w:eastAsia="Arimo" w:hAnsi="Arimo" w:cs="Arimo"/>
          <w:color w:val="000000"/>
          <w:sz w:val="24"/>
          <w:szCs w:val="24"/>
        </w:rPr>
        <w:t xml:space="preserve">Four nested feature sets were compared: demographics; demographics plus vital measurements; these variables plus chemistry; and the full panel including </w:t>
      </w:r>
      <w:proofErr w:type="spellStart"/>
      <w:r>
        <w:rPr>
          <w:rFonts w:ascii="Arimo" w:eastAsia="Arimo" w:hAnsi="Arimo" w:cs="Arimo"/>
          <w:color w:val="000000"/>
          <w:sz w:val="24"/>
          <w:szCs w:val="24"/>
        </w:rPr>
        <w:t>haematology</w:t>
      </w:r>
      <w:proofErr w:type="spellEnd"/>
      <w:r>
        <w:rPr>
          <w:rFonts w:ascii="Arimo" w:eastAsia="Arimo" w:hAnsi="Arimo" w:cs="Arimo"/>
          <w:color w:val="000000"/>
          <w:sz w:val="24"/>
          <w:szCs w:val="24"/>
        </w:rPr>
        <w:t xml:space="preserve">. Logistic regression used training-fold median imputation and </w:t>
      </w:r>
      <w:proofErr w:type="spellStart"/>
      <w:r>
        <w:rPr>
          <w:rFonts w:ascii="Arimo" w:eastAsia="Arimo" w:hAnsi="Arimo" w:cs="Arimo"/>
          <w:color w:val="000000"/>
          <w:sz w:val="24"/>
          <w:szCs w:val="24"/>
        </w:rPr>
        <w:t>standardisation</w:t>
      </w:r>
      <w:proofErr w:type="spellEnd"/>
      <w:r>
        <w:rPr>
          <w:rFonts w:ascii="Arimo" w:eastAsia="Arimo" w:hAnsi="Arimo" w:cs="Arimo"/>
          <w:color w:val="000000"/>
          <w:sz w:val="24"/>
          <w:szCs w:val="24"/>
        </w:rPr>
        <w:t xml:space="preserve">. Native gradient boosting retained missing values. Two additional arms either added binary observed-value indicators to native boosting or applied median imputation before boosting. These arms assess sensitivity to missing-data handling; imputation does not prove that all information about </w:t>
      </w:r>
      <w:proofErr w:type="spellStart"/>
      <w:r>
        <w:rPr>
          <w:rFonts w:ascii="Arimo" w:eastAsia="Arimo" w:hAnsi="Arimo" w:cs="Arimo"/>
          <w:color w:val="000000"/>
          <w:sz w:val="24"/>
          <w:szCs w:val="24"/>
        </w:rPr>
        <w:t>missingness</w:t>
      </w:r>
      <w:proofErr w:type="spellEnd"/>
      <w:r>
        <w:rPr>
          <w:rFonts w:ascii="Arimo" w:eastAsia="Arimo" w:hAnsi="Arimo" w:cs="Arimo"/>
          <w:color w:val="000000"/>
          <w:sz w:val="24"/>
          <w:szCs w:val="24"/>
        </w:rPr>
        <w:t xml:space="preserve"> or ordering practice has been removed. </w:t>
      </w:r>
    </w:p>
    <w:p w:rsidR="006012FE" w:rsidRDefault="007619F7">
      <w:pPr>
        <w:spacing w:after="240" w:line="336" w:lineRule="auto"/>
      </w:pPr>
      <w:r>
        <w:rPr>
          <w:rFonts w:ascii="Arimo Bold" w:eastAsia="Arimo Bold" w:hAnsi="Arimo Bold" w:cs="Arimo Bold"/>
          <w:b/>
          <w:bCs/>
          <w:color w:val="000000"/>
          <w:sz w:val="24"/>
          <w:szCs w:val="24"/>
        </w:rPr>
        <w:t xml:space="preserve">2.5.2 Models and validation </w:t>
      </w:r>
    </w:p>
    <w:p w:rsidR="006012FE" w:rsidRDefault="007619F7">
      <w:pPr>
        <w:spacing w:after="240" w:line="336" w:lineRule="auto"/>
      </w:pPr>
      <w:r>
        <w:rPr>
          <w:rFonts w:ascii="Arimo" w:eastAsia="Arimo" w:hAnsi="Arimo" w:cs="Arimo"/>
          <w:color w:val="000000"/>
          <w:sz w:val="24"/>
          <w:szCs w:val="24"/>
        </w:rPr>
        <w:t xml:space="preserve">The five principal arms were a training-prevalence baseline, L2-penalised logistic regression, histogram-based gradient boosting, boosting with observed-value indicators, and boosting after median imputation. Logistic regression used </w:t>
      </w:r>
      <w:proofErr w:type="spellStart"/>
      <w:r>
        <w:rPr>
          <w:rFonts w:ascii="Arimo" w:eastAsia="Arimo" w:hAnsi="Arimo" w:cs="Arimo"/>
          <w:color w:val="000000"/>
          <w:sz w:val="24"/>
          <w:szCs w:val="24"/>
        </w:rPr>
        <w:t>regularisation</w:t>
      </w:r>
      <w:proofErr w:type="spellEnd"/>
      <w:r>
        <w:rPr>
          <w:rFonts w:ascii="Arimo" w:eastAsia="Arimo" w:hAnsi="Arimo" w:cs="Arimo"/>
          <w:color w:val="000000"/>
          <w:sz w:val="24"/>
          <w:szCs w:val="24"/>
        </w:rPr>
        <w:t xml:space="preserve"> parameter C = 1 and a maximum of 3,000 iterations. Boosting used at most 400 iterations, a learning rate of 0.05, at most 31 leaves, a minimum leaf size of 40, and L2 </w:t>
      </w:r>
      <w:proofErr w:type="spellStart"/>
      <w:r>
        <w:rPr>
          <w:rFonts w:ascii="Arimo" w:eastAsia="Arimo" w:hAnsi="Arimo" w:cs="Arimo"/>
          <w:color w:val="000000"/>
          <w:sz w:val="24"/>
          <w:szCs w:val="24"/>
        </w:rPr>
        <w:t>regularisation</w:t>
      </w:r>
      <w:proofErr w:type="spellEnd"/>
      <w:r>
        <w:rPr>
          <w:rFonts w:ascii="Arimo" w:eastAsia="Arimo" w:hAnsi="Arimo" w:cs="Arimo"/>
          <w:color w:val="000000"/>
          <w:sz w:val="24"/>
          <w:szCs w:val="24"/>
        </w:rPr>
        <w:t xml:space="preserve"> of 1. Early stopping used a 15% internal validation fraction and 30 iterations without improvement. Settings were fixed in the implemented analysis, with no target-specific </w:t>
      </w:r>
      <w:proofErr w:type="spellStart"/>
      <w:r>
        <w:rPr>
          <w:rFonts w:ascii="Arimo" w:eastAsia="Arimo" w:hAnsi="Arimo" w:cs="Arimo"/>
          <w:color w:val="000000"/>
          <w:sz w:val="24"/>
          <w:szCs w:val="24"/>
        </w:rPr>
        <w:t>hyperparameter</w:t>
      </w:r>
      <w:proofErr w:type="spellEnd"/>
      <w:r>
        <w:rPr>
          <w:rFonts w:ascii="Arimo" w:eastAsia="Arimo" w:hAnsi="Arimo" w:cs="Arimo"/>
          <w:color w:val="000000"/>
          <w:sz w:val="24"/>
          <w:szCs w:val="24"/>
        </w:rPr>
        <w:t xml:space="preserve"> search. The random seed was 20260801. The internal early-stopping partition was not explicitly grouped by identity; outer evaluation partitions were grouped as described below. Gradient boosting builds an additive prediction function through successive loss-reducing updates [12]; the settings above describe the histogram-based implementation used here. No class weighting, oversampling, or </w:t>
      </w:r>
      <w:proofErr w:type="spellStart"/>
      <w:r>
        <w:rPr>
          <w:rFonts w:ascii="Arimo" w:eastAsia="Arimo" w:hAnsi="Arimo" w:cs="Arimo"/>
          <w:color w:val="000000"/>
          <w:sz w:val="24"/>
          <w:szCs w:val="24"/>
        </w:rPr>
        <w:t>undersampling</w:t>
      </w:r>
      <w:proofErr w:type="spellEnd"/>
      <w:r>
        <w:rPr>
          <w:rFonts w:ascii="Arimo" w:eastAsia="Arimo" w:hAnsi="Arimo" w:cs="Arimo"/>
          <w:color w:val="000000"/>
          <w:sz w:val="24"/>
          <w:szCs w:val="24"/>
        </w:rPr>
        <w:t xml:space="preserve"> was used. Model outputs were probabilities, and no model updating or recalibration was performed. </w:t>
      </w:r>
    </w:p>
    <w:p w:rsidR="006012FE" w:rsidRDefault="007619F7">
      <w:pPr>
        <w:spacing w:after="240" w:line="336" w:lineRule="auto"/>
      </w:pPr>
      <w:r>
        <w:rPr>
          <w:rFonts w:ascii="Arimo Italics" w:eastAsia="Arimo Italics" w:hAnsi="Arimo Italics" w:cs="Arimo Italics"/>
          <w:i/>
          <w:iCs/>
          <w:color w:val="000000"/>
          <w:sz w:val="24"/>
          <w:szCs w:val="24"/>
        </w:rPr>
        <w:t>Person-grouped evaluation.</w:t>
      </w:r>
      <w:r>
        <w:rPr>
          <w:rFonts w:ascii="Arimo" w:eastAsia="Arimo" w:hAnsi="Arimo" w:cs="Arimo"/>
          <w:color w:val="000000"/>
          <w:sz w:val="24"/>
          <w:szCs w:val="24"/>
        </w:rPr>
        <w:t xml:space="preserve"> We used five-fold </w:t>
      </w:r>
      <w:proofErr w:type="spellStart"/>
      <w:r>
        <w:rPr>
          <w:rFonts w:ascii="Arimo" w:eastAsia="Arimo" w:hAnsi="Arimo" w:cs="Arimo"/>
          <w:color w:val="000000"/>
          <w:sz w:val="24"/>
          <w:szCs w:val="24"/>
        </w:rPr>
        <w:t>GroupKFold</w:t>
      </w:r>
      <w:proofErr w:type="spellEnd"/>
      <w:r>
        <w:rPr>
          <w:rFonts w:ascii="Arimo" w:eastAsia="Arimo" w:hAnsi="Arimo" w:cs="Arimo"/>
          <w:color w:val="000000"/>
          <w:sz w:val="24"/>
          <w:szCs w:val="24"/>
        </w:rPr>
        <w:t xml:space="preserve"> on reconstructed identities. </w:t>
      </w:r>
    </w:p>
    <w:p w:rsidR="006012FE" w:rsidRDefault="007619F7">
      <w:pPr>
        <w:spacing w:after="240" w:line="336" w:lineRule="auto"/>
      </w:pPr>
      <w:r>
        <w:rPr>
          <w:rFonts w:ascii="Arimo Italics" w:eastAsia="Arimo Italics" w:hAnsi="Arimo Italics" w:cs="Arimo Italics"/>
          <w:i/>
          <w:iCs/>
          <w:color w:val="000000"/>
          <w:sz w:val="24"/>
          <w:szCs w:val="24"/>
        </w:rPr>
        <w:t>Screening-group-held-out evaluation.</w:t>
      </w:r>
      <w:r>
        <w:rPr>
          <w:rFonts w:ascii="Arimo" w:eastAsia="Arimo" w:hAnsi="Arimo" w:cs="Arimo"/>
          <w:color w:val="000000"/>
          <w:sz w:val="24"/>
          <w:szCs w:val="24"/>
        </w:rPr>
        <w:t xml:space="preserve"> Employer/role categories with at least 300 visits in the full cohort were retained as separate groups; smaller categories were pooled and were not held out. Each target-specific test fold required at least 150 labelled visits, at least 10 positive and 10 negative labels, and at least 500 remaining training visits. Reconstructed identities present in the held-out group were excluded </w:t>
      </w:r>
      <w:r>
        <w:rPr>
          <w:rFonts w:ascii="Arimo" w:eastAsia="Arimo" w:hAnsi="Arimo" w:cs="Arimo"/>
          <w:color w:val="000000"/>
          <w:sz w:val="24"/>
          <w:szCs w:val="24"/>
        </w:rPr>
        <w:lastRenderedPageBreak/>
        <w:t xml:space="preserve">from training. The category denoting unknown employer/role could qualify under these rules. </w:t>
      </w:r>
    </w:p>
    <w:p w:rsidR="006012FE" w:rsidRDefault="007619F7">
      <w:pPr>
        <w:spacing w:after="240" w:line="336" w:lineRule="auto"/>
      </w:pPr>
      <w:r>
        <w:rPr>
          <w:rFonts w:ascii="Arimo Italics" w:eastAsia="Arimo Italics" w:hAnsi="Arimo Italics" w:cs="Arimo Italics"/>
          <w:i/>
          <w:iCs/>
          <w:color w:val="000000"/>
          <w:sz w:val="24"/>
          <w:szCs w:val="24"/>
        </w:rPr>
        <w:t>Temporal evaluation.</w:t>
      </w:r>
      <w:r>
        <w:rPr>
          <w:rFonts w:ascii="Arimo" w:eastAsia="Arimo" w:hAnsi="Arimo" w:cs="Arimo"/>
          <w:color w:val="000000"/>
          <w:sz w:val="24"/>
          <w:szCs w:val="24"/>
        </w:rPr>
        <w:t xml:space="preserve"> Models were trained on </w:t>
      </w:r>
      <w:proofErr w:type="spellStart"/>
      <w:r>
        <w:rPr>
          <w:rFonts w:ascii="Arimo" w:eastAsia="Arimo" w:hAnsi="Arimo" w:cs="Arimo"/>
          <w:color w:val="000000"/>
          <w:sz w:val="24"/>
          <w:szCs w:val="24"/>
        </w:rPr>
        <w:t>programme</w:t>
      </w:r>
      <w:proofErr w:type="spellEnd"/>
      <w:r>
        <w:rPr>
          <w:rFonts w:ascii="Arimo" w:eastAsia="Arimo" w:hAnsi="Arimo" w:cs="Arimo"/>
          <w:color w:val="000000"/>
          <w:sz w:val="24"/>
          <w:szCs w:val="24"/>
        </w:rPr>
        <w:t xml:space="preserve"> years before 1403 and tested on years 1403 onward. Identities present in the later period were excluded from training. This design combines a time shift with exclusion of returning attendees from the development sample; it does not isolate temporal drift alone. Targets with fewer than 300 labelled visits or fewer than 25 positives were skipped by the experiment driver, and fold availability varied across endpoints. </w:t>
      </w:r>
    </w:p>
    <w:p w:rsidR="006012FE" w:rsidRDefault="007619F7">
      <w:pPr>
        <w:spacing w:after="240" w:line="336" w:lineRule="auto"/>
      </w:pPr>
      <w:r>
        <w:rPr>
          <w:rFonts w:ascii="Arimo Bold" w:eastAsia="Arimo Bold" w:hAnsi="Arimo Bold" w:cs="Arimo Bold"/>
          <w:b/>
          <w:bCs/>
          <w:color w:val="000000"/>
          <w:sz w:val="24"/>
          <w:szCs w:val="24"/>
        </w:rPr>
        <w:t xml:space="preserve">2.5.3 Performance measures and statistical inference </w:t>
      </w:r>
    </w:p>
    <w:p w:rsidR="006012FE" w:rsidRDefault="007619F7">
      <w:pPr>
        <w:spacing w:after="240" w:line="336" w:lineRule="auto"/>
      </w:pPr>
      <w:r>
        <w:rPr>
          <w:rFonts w:ascii="Arimo" w:eastAsia="Arimo" w:hAnsi="Arimo" w:cs="Arimo"/>
          <w:color w:val="000000"/>
          <w:sz w:val="24"/>
          <w:szCs w:val="24"/>
        </w:rPr>
        <w:t xml:space="preserve">Discrimination was </w:t>
      </w:r>
      <w:proofErr w:type="spellStart"/>
      <w:r>
        <w:rPr>
          <w:rFonts w:ascii="Arimo" w:eastAsia="Arimo" w:hAnsi="Arimo" w:cs="Arimo"/>
          <w:color w:val="000000"/>
          <w:sz w:val="24"/>
          <w:szCs w:val="24"/>
        </w:rPr>
        <w:t>summarised</w:t>
      </w:r>
      <w:proofErr w:type="spellEnd"/>
      <w:r>
        <w:rPr>
          <w:rFonts w:ascii="Arimo" w:eastAsia="Arimo" w:hAnsi="Arimo" w:cs="Arimo"/>
          <w:color w:val="000000"/>
          <w:sz w:val="24"/>
          <w:szCs w:val="24"/>
        </w:rPr>
        <w:t xml:space="preserve"> using the area under the receiver operating characteristic curve (AUROC) and average precision (termed AUPRC in the project outputs). AUPRC was also related to the event prevalence in the evaluated sample. For screening-group-held-out evaluation, the principal summary was the unweighted mean of AUROC calculated separately within each held-out group. Between-group SD describes heterogeneity and is not a confidence interval. Pooled AUROC was calculated on concatenated out-of-fold predictions and represents a different </w:t>
      </w:r>
      <w:proofErr w:type="spellStart"/>
      <w:r>
        <w:rPr>
          <w:rFonts w:ascii="Arimo" w:eastAsia="Arimo" w:hAnsi="Arimo" w:cs="Arimo"/>
          <w:color w:val="000000"/>
          <w:sz w:val="24"/>
          <w:szCs w:val="24"/>
        </w:rPr>
        <w:t>estimand</w:t>
      </w:r>
      <w:proofErr w:type="spellEnd"/>
      <w:r>
        <w:rPr>
          <w:rFonts w:ascii="Arimo" w:eastAsia="Arimo" w:hAnsi="Arimo" w:cs="Arimo"/>
          <w:color w:val="000000"/>
          <w:sz w:val="24"/>
          <w:szCs w:val="24"/>
        </w:rPr>
        <w:t xml:space="preserve">. Precision–recall summaries complement ROC discrimination for infrequent findings by describing the proportion of positives among selected predictions, with interpretation tied to outcome prevalence [13]. </w:t>
      </w:r>
    </w:p>
    <w:p w:rsidR="006012FE" w:rsidRDefault="007619F7">
      <w:pPr>
        <w:spacing w:after="240" w:line="336" w:lineRule="auto"/>
      </w:pPr>
      <w:r>
        <w:rPr>
          <w:rFonts w:ascii="Arimo" w:eastAsia="Arimo" w:hAnsi="Arimo" w:cs="Arimo"/>
          <w:color w:val="000000"/>
          <w:sz w:val="24"/>
          <w:szCs w:val="24"/>
        </w:rPr>
        <w:t xml:space="preserve">The original analysis used 300 reconstructed-person-clustered bootstrap replicates for selected pooled gradient-boosting metrics. During manuscript revision, we added 2,000-replicate percentile intervals for the principal mean within-group AUROC and for paired model and feature-block differences. Within each target, reconstructed identities were sampled with replacement from the pooled evaluation sample, retaining all their visits and original fold assignments. AUROC was recalculated within every fixed fold and averaged with equal fold weights; identical resampling weights were used for each paired comparison. All 2,000 replicates were valid for every target. These post hoc intervals condition on saved predictions and the observed collection of screening groups. They quantify evaluation-sample uncertainty but do not incorporate model refitting, model-selection uncertainty, or variation from sampling new screening groups. Supplementary Methods describe the computation. </w:t>
      </w:r>
    </w:p>
    <w:p w:rsidR="006012FE" w:rsidRDefault="007619F7">
      <w:pPr>
        <w:spacing w:after="240" w:line="336" w:lineRule="auto"/>
      </w:pPr>
      <w:r>
        <w:rPr>
          <w:rFonts w:ascii="Arimo" w:eastAsia="Arimo" w:hAnsi="Arimo" w:cs="Arimo"/>
          <w:color w:val="000000"/>
          <w:sz w:val="24"/>
          <w:szCs w:val="24"/>
        </w:rPr>
        <w:lastRenderedPageBreak/>
        <w:t xml:space="preserve">Calibration was assessed by regressing the outcome on the prediction logit with intercept and slope estimated jointly, together with the Brier score and a ten-quantile-bin expected calibration error. No multiplicity-adjusted tests or confirmatory significance claims were used; interval comparisons are exploratory and conditional on the observed evaluation sample. Historical full-panel calibration intercepts, slopes, Brier scores, and expected calibration errors are listed in Additional file 2, section 6. </w:t>
      </w:r>
    </w:p>
    <w:p w:rsidR="006012FE" w:rsidRDefault="007619F7">
      <w:pPr>
        <w:spacing w:after="240" w:line="336" w:lineRule="auto"/>
      </w:pPr>
      <w:r>
        <w:rPr>
          <w:rFonts w:ascii="Arimo" w:eastAsia="Arimo" w:hAnsi="Arimo" w:cs="Arimo"/>
          <w:color w:val="000000"/>
          <w:sz w:val="24"/>
          <w:szCs w:val="24"/>
        </w:rPr>
        <w:t xml:space="preserve">Decision-curve net benefit was calculated as TP/N − (FP/N) × </w:t>
      </w:r>
      <w:proofErr w:type="spellStart"/>
      <w:r>
        <w:rPr>
          <w:rFonts w:ascii="Arimo" w:eastAsia="Arimo" w:hAnsi="Arimo" w:cs="Arimo"/>
          <w:color w:val="000000"/>
          <w:sz w:val="24"/>
          <w:szCs w:val="24"/>
        </w:rPr>
        <w:t>pt</w:t>
      </w:r>
      <w:proofErr w:type="spellEnd"/>
      <w:proofErr w:type="gramStart"/>
      <w:r>
        <w:rPr>
          <w:rFonts w:ascii="Arimo" w:eastAsia="Arimo" w:hAnsi="Arimo" w:cs="Arimo"/>
          <w:color w:val="000000"/>
          <w:sz w:val="24"/>
          <w:szCs w:val="24"/>
        </w:rPr>
        <w:t>/(</w:t>
      </w:r>
      <w:proofErr w:type="gramEnd"/>
      <w:r>
        <w:rPr>
          <w:rFonts w:ascii="Arimo" w:eastAsia="Arimo" w:hAnsi="Arimo" w:cs="Arimo"/>
          <w:color w:val="000000"/>
          <w:sz w:val="24"/>
          <w:szCs w:val="24"/>
        </w:rPr>
        <w:t xml:space="preserve">1 − </w:t>
      </w:r>
      <w:proofErr w:type="spellStart"/>
      <w:r>
        <w:rPr>
          <w:rFonts w:ascii="Arimo" w:eastAsia="Arimo" w:hAnsi="Arimo" w:cs="Arimo"/>
          <w:color w:val="000000"/>
          <w:sz w:val="24"/>
          <w:szCs w:val="24"/>
        </w:rPr>
        <w:t>pt</w:t>
      </w:r>
      <w:proofErr w:type="spellEnd"/>
      <w:r>
        <w:rPr>
          <w:rFonts w:ascii="Arimo" w:eastAsia="Arimo" w:hAnsi="Arimo" w:cs="Arimo"/>
          <w:color w:val="000000"/>
          <w:sz w:val="24"/>
          <w:szCs w:val="24"/>
        </w:rPr>
        <w:t xml:space="preserve">), where </w:t>
      </w:r>
      <w:proofErr w:type="spellStart"/>
      <w:r>
        <w:rPr>
          <w:rFonts w:ascii="Arimo" w:eastAsia="Arimo" w:hAnsi="Arimo" w:cs="Arimo"/>
          <w:color w:val="000000"/>
          <w:sz w:val="24"/>
          <w:szCs w:val="24"/>
        </w:rPr>
        <w:t>pt</w:t>
      </w:r>
      <w:proofErr w:type="spellEnd"/>
      <w:r>
        <w:rPr>
          <w:rFonts w:ascii="Arimo" w:eastAsia="Arimo" w:hAnsi="Arimo" w:cs="Arimo"/>
          <w:color w:val="000000"/>
          <w:sz w:val="24"/>
          <w:szCs w:val="24"/>
        </w:rPr>
        <w:t xml:space="preserve"> is the threshold probability, and compared with testing all or none [6] across thresholds from 0.01 to 0.50. These analyses quantify trade-offs under assumed relative consequences of false positives and false negatives; the thresholds were not derived from a clinical preference study. </w:t>
      </w:r>
    </w:p>
    <w:p w:rsidR="006012FE" w:rsidRDefault="007619F7">
      <w:pPr>
        <w:spacing w:after="240" w:line="336" w:lineRule="auto"/>
      </w:pPr>
      <w:r>
        <w:rPr>
          <w:rFonts w:ascii="Arimo Bold" w:eastAsia="Arimo Bold" w:hAnsi="Arimo Bold" w:cs="Arimo Bold"/>
          <w:b/>
          <w:bCs/>
          <w:color w:val="000000"/>
          <w:sz w:val="24"/>
          <w:szCs w:val="24"/>
        </w:rPr>
        <w:t xml:space="preserve">2.5.4 Exploratory candidate models and operating points </w:t>
      </w:r>
    </w:p>
    <w:p w:rsidR="006012FE" w:rsidRDefault="007619F7">
      <w:pPr>
        <w:spacing w:after="240" w:line="336" w:lineRule="auto"/>
      </w:pPr>
      <w:r>
        <w:rPr>
          <w:rFonts w:ascii="Arimo" w:eastAsia="Arimo" w:hAnsi="Arimo" w:cs="Arimo"/>
          <w:color w:val="000000"/>
          <w:sz w:val="24"/>
          <w:szCs w:val="24"/>
        </w:rPr>
        <w:t xml:space="preserve">Two exploratory candidate models used median-imputed boosting with VT D3 excluded, leaving 49 predictors. A post hoc audit examined VT D3 by extraction batch and screening group, and fitted descriptive logistic models of the bone-mass label on VT D3 per 10 source units, age, and sex, with and without group and batch indicators. Models were also fitted in first records. These audits cannot identify an assay mechanism or establish predictor timing; exclusion was retained because field identity and prospective availability remain unverified. </w:t>
      </w:r>
    </w:p>
    <w:p w:rsidR="006012FE" w:rsidRDefault="007619F7">
      <w:pPr>
        <w:spacing w:after="240" w:line="336" w:lineRule="auto"/>
      </w:pPr>
      <w:r>
        <w:rPr>
          <w:rFonts w:ascii="Arimo" w:eastAsia="Arimo" w:hAnsi="Arimo" w:cs="Arimo"/>
          <w:color w:val="000000"/>
          <w:sz w:val="24"/>
          <w:szCs w:val="24"/>
        </w:rPr>
        <w:t xml:space="preserve">For each candidate configuration, screening-group-held-out predictions were regenerated. A threshold targeting 90% sensitivity was obtained in each evaluable group, and the median threshold was used as a common cutoff. Sensitivity and the proportion below that cutoff were then </w:t>
      </w:r>
      <w:proofErr w:type="spellStart"/>
      <w:r>
        <w:rPr>
          <w:rFonts w:ascii="Arimo" w:eastAsia="Arimo" w:hAnsi="Arimo" w:cs="Arimo"/>
          <w:color w:val="000000"/>
          <w:sz w:val="24"/>
          <w:szCs w:val="24"/>
        </w:rPr>
        <w:t>summarised</w:t>
      </w:r>
      <w:proofErr w:type="spellEnd"/>
      <w:r>
        <w:rPr>
          <w:rFonts w:ascii="Arimo" w:eastAsia="Arimo" w:hAnsi="Arimo" w:cs="Arimo"/>
          <w:color w:val="000000"/>
          <w:sz w:val="24"/>
          <w:szCs w:val="24"/>
        </w:rPr>
        <w:t xml:space="preserve"> across the same groups. Because threshold selection and evaluation used the same retrospective group collection, these operating points are exploratory rather than independently validated policy rules. </w:t>
      </w:r>
    </w:p>
    <w:p w:rsidR="006012FE" w:rsidRDefault="007619F7">
      <w:pPr>
        <w:spacing w:after="240" w:line="336" w:lineRule="auto"/>
      </w:pPr>
      <w:r>
        <w:rPr>
          <w:rFonts w:ascii="Arimo Bold" w:eastAsia="Arimo Bold" w:hAnsi="Arimo Bold" w:cs="Arimo Bold"/>
          <w:b/>
          <w:bCs/>
          <w:color w:val="000000"/>
          <w:sz w:val="24"/>
          <w:szCs w:val="24"/>
        </w:rPr>
        <w:t xml:space="preserve">2.5.5 First recorded visit sensitivity analysis </w:t>
      </w:r>
    </w:p>
    <w:p w:rsidR="006012FE" w:rsidRDefault="007619F7">
      <w:pPr>
        <w:spacing w:after="240" w:line="336" w:lineRule="auto"/>
      </w:pPr>
      <w:r>
        <w:rPr>
          <w:rFonts w:ascii="Arimo" w:eastAsia="Arimo" w:hAnsi="Arimo" w:cs="Arimo"/>
          <w:color w:val="000000"/>
          <w:sz w:val="24"/>
          <w:szCs w:val="24"/>
        </w:rPr>
        <w:t xml:space="preserve">We selected the earliest recorded visit for each reconstructed identity in the complete archive before applying endpoint eligibility. Exact </w:t>
      </w:r>
      <w:proofErr w:type="spellStart"/>
      <w:r>
        <w:rPr>
          <w:rFonts w:ascii="Arimo" w:eastAsia="Arimo" w:hAnsi="Arimo" w:cs="Arimo"/>
          <w:color w:val="000000"/>
          <w:sz w:val="24"/>
          <w:szCs w:val="24"/>
        </w:rPr>
        <w:t>Jalali</w:t>
      </w:r>
      <w:proofErr w:type="spellEnd"/>
      <w:r>
        <w:rPr>
          <w:rFonts w:ascii="Arimo" w:eastAsia="Arimo" w:hAnsi="Arimo" w:cs="Arimo"/>
          <w:color w:val="000000"/>
          <w:sz w:val="24"/>
          <w:szCs w:val="24"/>
        </w:rPr>
        <w:t xml:space="preserve"> year/month/day tuples determined order; 15 identities had tied earliest dates, resolved by processed row order. The resulting 12,246 first records need not be lifetime first visits and do </w:t>
      </w:r>
      <w:r>
        <w:rPr>
          <w:rFonts w:ascii="Arimo" w:eastAsia="Arimo" w:hAnsi="Arimo" w:cs="Arimo"/>
          <w:color w:val="000000"/>
          <w:sz w:val="24"/>
          <w:szCs w:val="24"/>
        </w:rPr>
        <w:lastRenderedPageBreak/>
        <w:t xml:space="preserve">not correct identity misclassification. We refitted native boosting with 50 predictors and median-imputed boosting with 49 predictors for the two headline endpoints, using the original settings under person-grouped and screening-group-held-out evaluation. Original full-cohort screening-group definitions and target-specific fold thresholds were retained. Full-cohort comparators were refitted in the same environment, and all outer folds were checked for reconstructed-identity overlap. No new threshold was selected. </w:t>
      </w:r>
    </w:p>
    <w:p w:rsidR="006012FE" w:rsidRDefault="007619F7">
      <w:pPr>
        <w:spacing w:after="240" w:line="336" w:lineRule="auto"/>
      </w:pPr>
      <w:r>
        <w:rPr>
          <w:rFonts w:ascii="Arimo" w:eastAsia="Arimo" w:hAnsi="Arimo" w:cs="Arimo"/>
          <w:color w:val="000000"/>
          <w:sz w:val="24"/>
          <w:szCs w:val="24"/>
        </w:rPr>
        <w:t xml:space="preserve">First-record AUROC intervals used 1,000 fixed-prediction bootstrap replicates (seed 20260916), resampling records for pooled person-grouped AUROC or resampling within each fixed screening group before averaging group AUROCs. These intervals exclude refitting uncertainty and uncertainty from sampling new groups. Calibration intercept and slope were estimated jointly on pooled held-out predictions, and Brier scores were also calculated. Comparisons restricted to screening groups evaluable in both cohorts describe group-composition effects but remain unpaired population comparisons (Additional file 2). </w:t>
      </w:r>
    </w:p>
    <w:p w:rsidR="006012FE" w:rsidRDefault="007619F7">
      <w:pPr>
        <w:spacing w:after="240" w:line="336" w:lineRule="auto"/>
      </w:pPr>
      <w:r>
        <w:rPr>
          <w:rFonts w:ascii="Arimo Bold" w:eastAsia="Arimo Bold" w:hAnsi="Arimo Bold" w:cs="Arimo Bold"/>
          <w:b/>
          <w:bCs/>
          <w:color w:val="000000"/>
          <w:sz w:val="24"/>
          <w:szCs w:val="24"/>
        </w:rPr>
        <w:t xml:space="preserve">2.5.6 Software and reproducibility </w:t>
      </w:r>
    </w:p>
    <w:p w:rsidR="006012FE" w:rsidRDefault="007619F7">
      <w:pPr>
        <w:spacing w:after="240" w:line="336" w:lineRule="auto"/>
      </w:pPr>
      <w:r>
        <w:rPr>
          <w:rFonts w:ascii="Arimo" w:eastAsia="Arimo" w:hAnsi="Arimo" w:cs="Arimo"/>
          <w:color w:val="000000"/>
          <w:sz w:val="24"/>
          <w:szCs w:val="24"/>
        </w:rPr>
        <w:t xml:space="preserve">The original archive contains source code, a minimum-version requirements file, tables, predictions, figures, and model cards. Previous revision audits reproduced all 12 target counts and saved AUROCs for 11 group-held-out targets. The present revision additionally refitted the two headline endpoints in full and first-record cohorts using Python 3.12.14 and </w:t>
      </w:r>
      <w:proofErr w:type="spellStart"/>
      <w:r>
        <w:rPr>
          <w:rFonts w:ascii="Arimo" w:eastAsia="Arimo" w:hAnsi="Arimo" w:cs="Arimo"/>
          <w:color w:val="000000"/>
          <w:sz w:val="24"/>
          <w:szCs w:val="24"/>
        </w:rPr>
        <w:t>scikit</w:t>
      </w:r>
      <w:proofErr w:type="spellEnd"/>
      <w:r>
        <w:rPr>
          <w:rFonts w:ascii="Arimo" w:eastAsia="Arimo" w:hAnsi="Arimo" w:cs="Arimo"/>
          <w:color w:val="000000"/>
          <w:sz w:val="24"/>
          <w:szCs w:val="24"/>
        </w:rPr>
        <w:t xml:space="preserve">-learn 1.8.0. Refit estimates are reported separately from historical saved-prediction results because the original exact environment was not pinned. Additional file 2 provides provenance and reproducibility details. Hypothesis testing with a fixed significance level was not performed; inference is based on percentile bootstrap intervals (see 2.5.3).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3. Results </w:t>
            </w:r>
          </w:p>
        </w:tc>
      </w:tr>
    </w:tbl>
    <w:p w:rsidR="006012FE" w:rsidRDefault="007619F7">
      <w:pPr>
        <w:spacing w:after="240" w:line="336" w:lineRule="auto"/>
      </w:pPr>
      <w:r>
        <w:rPr>
          <w:rFonts w:ascii="Arimo Bold" w:eastAsia="Arimo Bold" w:hAnsi="Arimo Bold" w:cs="Arimo Bold"/>
          <w:b/>
          <w:bCs/>
          <w:color w:val="000000"/>
          <w:sz w:val="24"/>
          <w:szCs w:val="24"/>
        </w:rPr>
        <w:t xml:space="preserve">3.1 Cohort and Outcome Availability </w:t>
      </w:r>
    </w:p>
    <w:p w:rsidR="006012FE" w:rsidRDefault="007619F7">
      <w:pPr>
        <w:spacing w:after="240" w:line="360" w:lineRule="auto"/>
      </w:pPr>
      <w:r>
        <w:rPr>
          <w:rFonts w:ascii="Arimo" w:eastAsia="Arimo" w:hAnsi="Arimo" w:cs="Arimo"/>
          <w:color w:val="000000"/>
          <w:sz w:val="24"/>
          <w:szCs w:val="24"/>
        </w:rPr>
        <w:t xml:space="preserve">The cohort comprised 36,885 visits, including 23,150 visits by men and 13,735 by women. Median age was 37 years (IQR, 32–42), and median body mass index was 26.1 kg/m² (IQR, 23.6–28.7). Of 12,246 reconstructed identity groups, 7,606 had at </w:t>
      </w:r>
      <w:r>
        <w:rPr>
          <w:rFonts w:ascii="Arimo" w:eastAsia="Arimo" w:hAnsi="Arimo" w:cs="Arimo"/>
          <w:color w:val="000000"/>
          <w:sz w:val="24"/>
          <w:szCs w:val="24"/>
        </w:rPr>
        <w:lastRenderedPageBreak/>
        <w:t xml:space="preserve">least two visits and 5,051 had at least three. Usable age was available in 36,720 visits. At least 50% and at least 80% of the core panel were measured in 32,264 and 30,184 visits, respectively (Table 3). </w:t>
      </w:r>
    </w:p>
    <w:p w:rsidR="006012FE" w:rsidRDefault="007619F7">
      <w:pPr>
        <w:spacing w:after="240" w:line="336" w:lineRule="auto"/>
      </w:pPr>
      <w:r>
        <w:rPr>
          <w:rFonts w:ascii="Arimo Bold" w:eastAsia="Arimo Bold" w:hAnsi="Arimo Bold" w:cs="Arimo Bold"/>
          <w:b/>
          <w:bCs/>
          <w:color w:val="000000"/>
          <w:sz w:val="24"/>
          <w:szCs w:val="24"/>
        </w:rPr>
        <w:t>Table 3. Cohort characteristics</w:t>
      </w:r>
      <w:r>
        <w:rPr>
          <w:rFonts w:ascii="Arimo" w:eastAsia="Arimo" w:hAnsi="Arimo" w:cs="Arimo"/>
          <w:color w:val="000000"/>
          <w:sz w:val="24"/>
          <w:szCs w:val="24"/>
        </w:rPr>
        <w:t xml:space="preserve">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2257"/>
        <w:gridCol w:w="2257"/>
        <w:gridCol w:w="2258"/>
        <w:gridCol w:w="2258"/>
      </w:tblGrid>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Characteristic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All visits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Men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Women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Visits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36,885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23,150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13,735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Reconstructed identities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12,246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7,267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4,979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Age, years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37.0 (32.0–42.0)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38.0 (33.0–43.0)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36.0 (31.0–41.0)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BMI, kg/m²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26.1 (23.6–28.7)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26.8 (24.6–29.3)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24.4 (22.3–27.3)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Systolic pressure, mmHg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121.0 (111.0–131.0)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125.0 (117.0–134.0)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114.0 (105.0–122.0)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Diastolic pressure, mmHg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74.0 (66.0–81.0)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77.0 (69.0–84.0)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69.0 (62.0–77.0)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Fasting glucose, mg/</w:t>
            </w:r>
            <w:proofErr w:type="spellStart"/>
            <w:r>
              <w:rPr>
                <w:rFonts w:ascii="Arimo" w:eastAsia="Arimo" w:hAnsi="Arimo" w:cs="Arimo"/>
                <w:color w:val="000000"/>
                <w:sz w:val="24"/>
                <w:szCs w:val="24"/>
              </w:rPr>
              <w:t>dL</w:t>
            </w:r>
            <w:proofErr w:type="spellEnd"/>
            <w:r>
              <w:rPr>
                <w:rFonts w:ascii="Arimo" w:eastAsia="Arimo" w:hAnsi="Arimo" w:cs="Arimo"/>
                <w:color w:val="000000"/>
                <w:sz w:val="24"/>
                <w:szCs w:val="24"/>
              </w:rPr>
              <w:t xml:space="preserve">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90.0 (85.0–95.0)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92.0 (87.0–97.0)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88.0 (83.0–92.0)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HbA1c, %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5.3 (5.0–5.5)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5.3 (5.0–5.5)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5.2 (5.0–5.5)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lastRenderedPageBreak/>
              <w:t>Total cholesterol, mg/</w:t>
            </w:r>
            <w:proofErr w:type="spellStart"/>
            <w:r>
              <w:rPr>
                <w:rFonts w:ascii="Arimo" w:eastAsia="Arimo" w:hAnsi="Arimo" w:cs="Arimo"/>
                <w:color w:val="000000"/>
                <w:sz w:val="24"/>
                <w:szCs w:val="24"/>
              </w:rPr>
              <w:t>dL</w:t>
            </w:r>
            <w:proofErr w:type="spellEnd"/>
            <w:r>
              <w:rPr>
                <w:rFonts w:ascii="Arimo" w:eastAsia="Arimo" w:hAnsi="Arimo" w:cs="Arimo"/>
                <w:color w:val="000000"/>
                <w:sz w:val="24"/>
                <w:szCs w:val="24"/>
              </w:rPr>
              <w:t xml:space="preserve">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169.0 (149.0–190.0)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171.0 (150.0–194.0)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165.0 (146.1–185.0)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Triglycerides, mg/</w:t>
            </w:r>
            <w:proofErr w:type="spellStart"/>
            <w:r>
              <w:rPr>
                <w:rFonts w:ascii="Arimo" w:eastAsia="Arimo" w:hAnsi="Arimo" w:cs="Arimo"/>
                <w:color w:val="000000"/>
                <w:sz w:val="24"/>
                <w:szCs w:val="24"/>
              </w:rPr>
              <w:t>dL</w:t>
            </w:r>
            <w:proofErr w:type="spellEnd"/>
            <w:r>
              <w:rPr>
                <w:rFonts w:ascii="Arimo" w:eastAsia="Arimo" w:hAnsi="Arimo" w:cs="Arimo"/>
                <w:color w:val="000000"/>
                <w:sz w:val="24"/>
                <w:szCs w:val="24"/>
              </w:rPr>
              <w:t xml:space="preserve">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110.0 (79.0–157.0)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129.0 (94.0–179.0)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85.0 (65.0–115.0)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HDL cholesterol, mg/</w:t>
            </w:r>
            <w:proofErr w:type="spellStart"/>
            <w:r>
              <w:rPr>
                <w:rFonts w:ascii="Arimo" w:eastAsia="Arimo" w:hAnsi="Arimo" w:cs="Arimo"/>
                <w:color w:val="000000"/>
                <w:sz w:val="24"/>
                <w:szCs w:val="24"/>
              </w:rPr>
              <w:t>dL</w:t>
            </w:r>
            <w:proofErr w:type="spellEnd"/>
            <w:r>
              <w:rPr>
                <w:rFonts w:ascii="Arimo" w:eastAsia="Arimo" w:hAnsi="Arimo" w:cs="Arimo"/>
                <w:color w:val="000000"/>
                <w:sz w:val="24"/>
                <w:szCs w:val="24"/>
              </w:rPr>
              <w:t xml:space="preserve">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47.0 (41.0–54.0)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45.0 (40.0–50.0)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51.0 (46.0–58.0)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Creatinine, mg/</w:t>
            </w:r>
            <w:proofErr w:type="spellStart"/>
            <w:r>
              <w:rPr>
                <w:rFonts w:ascii="Arimo" w:eastAsia="Arimo" w:hAnsi="Arimo" w:cs="Arimo"/>
                <w:color w:val="000000"/>
                <w:sz w:val="24"/>
                <w:szCs w:val="24"/>
              </w:rPr>
              <w:t>dL</w:t>
            </w:r>
            <w:proofErr w:type="spellEnd"/>
            <w:r>
              <w:rPr>
                <w:rFonts w:ascii="Arimo" w:eastAsia="Arimo" w:hAnsi="Arimo" w:cs="Arimo"/>
                <w:color w:val="000000"/>
                <w:sz w:val="24"/>
                <w:szCs w:val="24"/>
              </w:rPr>
              <w:t xml:space="preserve">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1.0 (0.9–1.1)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1.0 (1.0–1.1)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0.9 (0.9–0.9) </w:t>
            </w:r>
          </w:p>
        </w:tc>
      </w:tr>
    </w:tbl>
    <w:p w:rsidR="006012FE" w:rsidRPr="0010799E" w:rsidRDefault="007619F7">
      <w:pPr>
        <w:spacing w:after="240" w:line="336" w:lineRule="auto"/>
        <w:rPr>
          <w:sz w:val="18"/>
          <w:szCs w:val="18"/>
        </w:rPr>
      </w:pPr>
      <w:r w:rsidRPr="0010799E">
        <w:rPr>
          <w:rFonts w:ascii="Arimo Italics" w:eastAsia="Arimo Italics" w:hAnsi="Arimo Italics" w:cs="Arimo Italics"/>
          <w:i/>
          <w:iCs/>
          <w:color w:val="000000"/>
          <w:sz w:val="20"/>
          <w:szCs w:val="20"/>
        </w:rPr>
        <w:t xml:space="preserve">Continuous variables are median (IQR) among available observations. Counts of individuals are reconstructed identity groups. Laboratory units follow the project input documentation and require confirmation against the source laboratory. </w:t>
      </w:r>
    </w:p>
    <w:p w:rsidR="006012FE" w:rsidRDefault="007619F7" w:rsidP="0010799E">
      <w:pPr>
        <w:spacing w:after="240" w:line="336" w:lineRule="auto"/>
      </w:pPr>
      <w:r>
        <w:rPr>
          <w:rFonts w:ascii="Arimo" w:eastAsia="Arimo" w:hAnsi="Arimo" w:cs="Arimo"/>
          <w:color w:val="000000"/>
          <w:sz w:val="24"/>
          <w:szCs w:val="24"/>
        </w:rPr>
        <w:t xml:space="preserve">Outcome-specific labelled samples ranged from 1,087 for mammography to 32,471 for the kidney-stone field (Table 4). Recorded low bone mass was present in 2,726 of 20,238 labelled visits (13.47%); heterogeneous prostate echotexture was present in 2,038 of 13,921 eligible visits (14.64%). These denominators represent observed-label samples, not estimated prevalence in all attendees. Module availability varied across groups; reported densitometry coverage ranged from 0.0% to 91.8% and echocardiography from 0.3% to 99.6%. </w:t>
      </w:r>
    </w:p>
    <w:p w:rsidR="006012FE" w:rsidRDefault="007619F7">
      <w:pPr>
        <w:spacing w:after="240" w:line="336" w:lineRule="auto"/>
      </w:pPr>
      <w:r>
        <w:rPr>
          <w:rFonts w:ascii="Arimo Bold" w:eastAsia="Arimo Bold" w:hAnsi="Arimo Bold" w:cs="Arimo Bold"/>
          <w:b/>
          <w:bCs/>
          <w:color w:val="000000"/>
          <w:sz w:val="24"/>
          <w:szCs w:val="24"/>
        </w:rPr>
        <w:t>Table 4. Recorded outcome availability</w:t>
      </w:r>
      <w:r>
        <w:rPr>
          <w:rFonts w:ascii="Arimo" w:eastAsia="Arimo" w:hAnsi="Arimo" w:cs="Arimo"/>
          <w:color w:val="000000"/>
          <w:sz w:val="24"/>
          <w:szCs w:val="24"/>
        </w:rPr>
        <w:t xml:space="preserve">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2257"/>
        <w:gridCol w:w="2257"/>
        <w:gridCol w:w="2258"/>
        <w:gridCol w:w="2258"/>
      </w:tblGrid>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Outcome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Labelled visits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Positive labels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Positive, %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Kidney stone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32,471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1,861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5.73 </w:t>
            </w:r>
          </w:p>
        </w:tc>
      </w:tr>
      <w:tr w:rsidR="006012FE">
        <w:tc>
          <w:tcPr>
            <w:tcW w:w="2257" w:type="dxa"/>
            <w:tcMar>
              <w:top w:w="180" w:type="dxa"/>
              <w:left w:w="180" w:type="dxa"/>
              <w:bottom w:w="180" w:type="dxa"/>
              <w:right w:w="180" w:type="dxa"/>
            </w:tcMar>
          </w:tcPr>
          <w:p w:rsidR="006012FE" w:rsidRDefault="007619F7">
            <w:pPr>
              <w:spacing w:after="240" w:line="336" w:lineRule="auto"/>
            </w:pPr>
            <w:proofErr w:type="spellStart"/>
            <w:r>
              <w:rPr>
                <w:rFonts w:ascii="Arimo" w:eastAsia="Arimo" w:hAnsi="Arimo" w:cs="Arimo"/>
                <w:color w:val="000000"/>
                <w:sz w:val="24"/>
                <w:szCs w:val="24"/>
              </w:rPr>
              <w:t>Hydronephrosis</w:t>
            </w:r>
            <w:proofErr w:type="spellEnd"/>
            <w:r>
              <w:rPr>
                <w:rFonts w:ascii="Arimo" w:eastAsia="Arimo" w:hAnsi="Arimo" w:cs="Arimo"/>
                <w:color w:val="000000"/>
                <w:sz w:val="24"/>
                <w:szCs w:val="24"/>
              </w:rPr>
              <w:t xml:space="preserve">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32,377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237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0.73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lastRenderedPageBreak/>
              <w:t xml:space="preserve">Gallstones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31,832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815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2.56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Nephrolithiasis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31,772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2,416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7.60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20,238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2,726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13.47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mitral regurgitation ≥mild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19,382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15,835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81.70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Mitral valve abnormality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17,550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491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2.80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13,921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2,038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14.64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K6 score ≥13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13,697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340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2.48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Any positive toxicology field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4,730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263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5.56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Carotid abnormality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1,651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57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3.45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Mammography BI-RADS 3–6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1,087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277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25.48 </w:t>
            </w:r>
          </w:p>
        </w:tc>
      </w:tr>
    </w:tbl>
    <w:p w:rsidR="006012FE" w:rsidRPr="0010799E" w:rsidRDefault="007619F7">
      <w:pPr>
        <w:spacing w:after="240" w:line="336" w:lineRule="auto"/>
        <w:rPr>
          <w:sz w:val="18"/>
          <w:szCs w:val="18"/>
        </w:rPr>
      </w:pPr>
      <w:r w:rsidRPr="0010799E">
        <w:rPr>
          <w:rFonts w:ascii="Arimo Italics" w:eastAsia="Arimo Italics" w:hAnsi="Arimo Italics" w:cs="Arimo Italics"/>
          <w:i/>
          <w:iCs/>
          <w:color w:val="000000"/>
          <w:sz w:val="20"/>
          <w:szCs w:val="20"/>
        </w:rPr>
        <w:lastRenderedPageBreak/>
        <w:t xml:space="preserve">Each outcome has a separate observed-label denominator. Prostate labels are male-restricted and mammography labels female-restricted. Percentages are not population prevalence estimates. No overall-cohort coverage percentages are used for sex-specific comparisons. </w:t>
      </w:r>
    </w:p>
    <w:p w:rsidR="006012FE" w:rsidRDefault="007619F7">
      <w:pPr>
        <w:spacing w:after="240" w:line="336" w:lineRule="auto"/>
      </w:pPr>
      <w:r>
        <w:rPr>
          <w:rFonts w:ascii="Arimo Bold" w:eastAsia="Arimo Bold" w:hAnsi="Arimo Bold" w:cs="Arimo Bold"/>
          <w:b/>
          <w:bCs/>
          <w:color w:val="000000"/>
          <w:sz w:val="24"/>
          <w:szCs w:val="24"/>
        </w:rPr>
        <w:t xml:space="preserve">3.2 Reference-Category Audit </w:t>
      </w:r>
    </w:p>
    <w:p w:rsidR="0010799E" w:rsidRPr="0010799E" w:rsidRDefault="007619F7" w:rsidP="0010799E">
      <w:pPr>
        <w:spacing w:after="240" w:line="336" w:lineRule="auto"/>
        <w:rPr>
          <w:rFonts w:ascii="Arimo" w:eastAsia="Arimo" w:hAnsi="Arimo" w:cs="Arimo"/>
          <w:color w:val="000000"/>
          <w:sz w:val="24"/>
          <w:szCs w:val="24"/>
        </w:rPr>
      </w:pPr>
      <w:r>
        <w:rPr>
          <w:rFonts w:ascii="Arimo" w:eastAsia="Arimo" w:hAnsi="Arimo" w:cs="Arimo"/>
          <w:color w:val="000000"/>
          <w:sz w:val="24"/>
          <w:szCs w:val="24"/>
        </w:rPr>
        <w:t xml:space="preserve">BMD- and T-score-filed categories agreed in all 12,185 paired left-hip records and all 15,409 paired lumbar-spine records. Their different marginal abnormality frequencies therefore did not indicate category disagreement among paired observations. Availability was strongly associated with the BMD-filed category: left-hip abnormality was recorded in 170 of 12,185 visits with a corresponding T-score category (1.4%) and 1,931 of 6,156 without one (31.4%). Corresponding lumbar-spine proportions were 110 of 15,409 (0.7%) and 1,316 of 4,228 (31.1%). In addition, 2,481 visits classified as negative for the combined bone-mass endpoint had a category at only one of the two sites. These are export-level findings and do not verify numerical densitometry interpretation (Table 5). </w:t>
      </w:r>
    </w:p>
    <w:p w:rsidR="006012FE" w:rsidRDefault="007619F7">
      <w:pPr>
        <w:spacing w:after="240" w:line="336" w:lineRule="auto"/>
      </w:pPr>
      <w:r>
        <w:rPr>
          <w:rFonts w:ascii="Arimo Bold" w:eastAsia="Arimo Bold" w:hAnsi="Arimo Bold" w:cs="Arimo Bold"/>
          <w:b/>
          <w:bCs/>
          <w:color w:val="000000"/>
          <w:sz w:val="24"/>
          <w:szCs w:val="24"/>
        </w:rPr>
        <w:t>Table 5. Paired category and availability audit</w:t>
      </w:r>
      <w:r>
        <w:rPr>
          <w:rFonts w:ascii="Arimo" w:eastAsia="Arimo" w:hAnsi="Arimo" w:cs="Arimo"/>
          <w:color w:val="000000"/>
          <w:sz w:val="24"/>
          <w:szCs w:val="24"/>
        </w:rPr>
        <w:t xml:space="preserve">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1436"/>
        <w:gridCol w:w="1497"/>
        <w:gridCol w:w="1641"/>
        <w:gridCol w:w="1561"/>
        <w:gridCol w:w="1628"/>
        <w:gridCol w:w="1267"/>
      </w:tblGrid>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Site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Paired categories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Disagreeing pairs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BMD abnormal with T-score category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BMD abnormal without T-score category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Left hip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12,185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170/12,185 (1.4%)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1,931/6,156 (31.4%)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Lumbar spine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15,409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110/15,409 (0.7%)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1,316/4,228 (31.1%)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 </w:t>
            </w:r>
          </w:p>
        </w:tc>
      </w:tr>
    </w:tbl>
    <w:p w:rsidR="006012FE" w:rsidRDefault="007619F7">
      <w:pPr>
        <w:spacing w:after="240" w:line="336" w:lineRule="auto"/>
      </w:pPr>
      <w:r w:rsidRPr="0010799E">
        <w:rPr>
          <w:rFonts w:ascii="Arimo Italics" w:eastAsia="Arimo Italics" w:hAnsi="Arimo Italics" w:cs="Arimo Italics"/>
          <w:i/>
          <w:iCs/>
          <w:color w:val="000000"/>
          <w:sz w:val="20"/>
          <w:szCs w:val="20"/>
        </w:rPr>
        <w:t>Post hoc audit of processed records. Abnormal means a BMD-filed category of osteopenia or osteoporosis. Denominators in the final two columns are visits with a BMD category, divided by whether a same-site T-score category is recorded. Categories agree among paired records, but availability differs by recorded category. This does not adjudicate the numeric measurements or the appropriateness of the diagnosis. A further 2,481 negative combined-endpoint labels used a category from only one of the two sites</w:t>
      </w:r>
      <w:r>
        <w:rPr>
          <w:rFonts w:ascii="Arimo Italics" w:eastAsia="Arimo Italics" w:hAnsi="Arimo Italics" w:cs="Arimo Italics"/>
          <w:i/>
          <w:iCs/>
          <w:color w:val="000000"/>
          <w:sz w:val="24"/>
          <w:szCs w:val="24"/>
        </w:rPr>
        <w:t xml:space="preserve">. </w:t>
      </w:r>
    </w:p>
    <w:p w:rsidR="006012FE" w:rsidRDefault="007619F7">
      <w:pPr>
        <w:spacing w:after="240" w:line="336" w:lineRule="auto"/>
      </w:pPr>
      <w:r>
        <w:rPr>
          <w:rFonts w:ascii="Arimo Bold" w:eastAsia="Arimo Bold" w:hAnsi="Arimo Bold" w:cs="Arimo Bold"/>
          <w:b/>
          <w:bCs/>
          <w:color w:val="000000"/>
          <w:sz w:val="24"/>
          <w:szCs w:val="24"/>
        </w:rPr>
        <w:lastRenderedPageBreak/>
        <w:t xml:space="preserve">3.3 Discrimination Across Targets and Models </w:t>
      </w:r>
    </w:p>
    <w:p w:rsidR="006012FE" w:rsidRDefault="007619F7">
      <w:pPr>
        <w:spacing w:after="240" w:line="336" w:lineRule="auto"/>
      </w:pPr>
      <w:r>
        <w:rPr>
          <w:rFonts w:ascii="Arimo" w:eastAsia="Arimo" w:hAnsi="Arimo" w:cs="Arimo"/>
          <w:color w:val="000000"/>
          <w:sz w:val="24"/>
          <w:szCs w:val="24"/>
        </w:rPr>
        <w:t xml:space="preserve">For full-panel native boosting, mean within-group AUROC was 0.774 (95% conditional bootstrap interval, 0.757–0.790; between-group SD, 0.098) for prostate echotexture and 0.733 (0.715–0.750; SD, 0.085) for recorded low bone mass. The corresponding evaluations comprised 8,203 visits across 10 groups and 15,404 visits across 12 groups. Lower mean within-group AUROCs were observed for kidney stone (0.663), K6 score ≥13 (0.660), nephrolithiasis (0.649), gallstones (0.643), and the remaining evaluable targets (Table 6). No eligible held-out-group result was available for carotid abnormalities. </w:t>
      </w:r>
    </w:p>
    <w:p w:rsidR="006012FE" w:rsidRDefault="007619F7">
      <w:pPr>
        <w:spacing w:after="240" w:line="336" w:lineRule="auto"/>
      </w:pPr>
      <w:r>
        <w:rPr>
          <w:rFonts w:ascii="Arimo Bold" w:eastAsia="Arimo Bold" w:hAnsi="Arimo Bold" w:cs="Arimo Bold"/>
          <w:b/>
          <w:bCs/>
          <w:color w:val="000000"/>
          <w:sz w:val="24"/>
          <w:szCs w:val="24"/>
        </w:rPr>
        <w:t>Table 6. Discrimination across held-out screening groups</w:t>
      </w:r>
      <w:r>
        <w:rPr>
          <w:rFonts w:ascii="Arimo" w:eastAsia="Arimo" w:hAnsi="Arimo" w:cs="Arimo"/>
          <w:color w:val="000000"/>
          <w:sz w:val="24"/>
          <w:szCs w:val="24"/>
        </w:rPr>
        <w:t xml:space="preserve">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2041"/>
        <w:gridCol w:w="1383"/>
        <w:gridCol w:w="1399"/>
        <w:gridCol w:w="1422"/>
        <w:gridCol w:w="1363"/>
        <w:gridCol w:w="1422"/>
      </w:tblGrid>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Outcome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Visits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Groups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Mean AUROC (95% interval)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Group SD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Pooled AUROC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8,203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10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0.774 (0.757–0.790)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0.098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0.815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15,404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12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0.733 (0.715–0.750)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0.085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0.747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Kidney stone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25,302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0.663 (0.640–0.684)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0.060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0.688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K6 score ≥13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7,035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7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0.660 (0.620–0.698)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0.077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0.655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lastRenderedPageBreak/>
              <w:t xml:space="preserve">Nephrolithiasis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23,874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14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0.649 (0.621–0.676)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0.115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0.770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Gallstones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23,335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12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0.643 (0.608–0.678)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0.051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0.659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Mitral valve abnormality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11,365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10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0.620 (0.575–0.668)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0.053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0.573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mitral regurgitation ≥mild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14,410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14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0.600 (0.582–0.618)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0.075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0.609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Mammography BI-RADS 3–6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500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0.572 (0.518–0.622)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0.055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0.564 </w:t>
            </w:r>
          </w:p>
        </w:tc>
      </w:tr>
      <w:tr w:rsidR="006012FE">
        <w:tc>
          <w:tcPr>
            <w:tcW w:w="1505" w:type="dxa"/>
            <w:tcMar>
              <w:top w:w="180" w:type="dxa"/>
              <w:left w:w="180" w:type="dxa"/>
              <w:bottom w:w="180" w:type="dxa"/>
              <w:right w:w="180" w:type="dxa"/>
            </w:tcMar>
          </w:tcPr>
          <w:p w:rsidR="006012FE" w:rsidRDefault="007619F7">
            <w:pPr>
              <w:spacing w:after="240" w:line="336" w:lineRule="auto"/>
            </w:pPr>
            <w:proofErr w:type="spellStart"/>
            <w:r>
              <w:rPr>
                <w:rFonts w:ascii="Arimo" w:eastAsia="Arimo" w:hAnsi="Arimo" w:cs="Arimo"/>
                <w:color w:val="000000"/>
                <w:sz w:val="24"/>
                <w:szCs w:val="24"/>
              </w:rPr>
              <w:t>Hydronephrosis</w:t>
            </w:r>
            <w:proofErr w:type="spellEnd"/>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19,002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0.563 (0.508–0.621)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0.038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0.563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Any positive toxicology field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3,261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0.535 (0.483–0.585)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0.018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0.513 </w:t>
            </w:r>
          </w:p>
        </w:tc>
      </w:tr>
    </w:tbl>
    <w:p w:rsidR="006012FE" w:rsidRPr="0010799E" w:rsidRDefault="007619F7">
      <w:pPr>
        <w:spacing w:after="360" w:line="329" w:lineRule="auto"/>
        <w:rPr>
          <w:sz w:val="18"/>
          <w:szCs w:val="18"/>
        </w:rPr>
      </w:pPr>
      <w:r w:rsidRPr="0010799E">
        <w:rPr>
          <w:rFonts w:ascii="Arimo Italics" w:eastAsia="Arimo Italics" w:hAnsi="Arimo Italics" w:cs="Arimo Italics"/>
          <w:i/>
          <w:iCs/>
          <w:color w:val="000000"/>
          <w:sz w:val="20"/>
          <w:szCs w:val="20"/>
        </w:rPr>
        <w:t xml:space="preserve">Full 50-predictor native boosting. Means weight groups equally. New intervals use 2,000 identity-cluster bootstrap replicates conditional on fixed predictions and evaluated groups; they do not quantify </w:t>
      </w:r>
      <w:r w:rsidRPr="0010799E">
        <w:rPr>
          <w:rFonts w:ascii="Arimo Italics" w:eastAsia="Arimo Italics" w:hAnsi="Arimo Italics" w:cs="Arimo Italics"/>
          <w:i/>
          <w:iCs/>
          <w:color w:val="000000"/>
          <w:sz w:val="20"/>
          <w:szCs w:val="20"/>
        </w:rPr>
        <w:lastRenderedPageBreak/>
        <w:t>transfer to new groups. SD describes between-group variation. Target-specific eligibility changes the evaluation sample; carotid abnormalities had no qualifying fold.</w:t>
      </w:r>
      <w:r w:rsidRPr="0010799E">
        <w:rPr>
          <w:rFonts w:ascii="Arimo" w:eastAsia="Arimo" w:hAnsi="Arimo" w:cs="Arimo"/>
          <w:color w:val="000000"/>
          <w:sz w:val="20"/>
          <w:szCs w:val="20"/>
        </w:rPr>
        <w:t xml:space="preserve"> </w:t>
      </w:r>
    </w:p>
    <w:p w:rsidR="006012FE" w:rsidRDefault="007619F7">
      <w:pPr>
        <w:spacing w:after="240" w:line="336" w:lineRule="auto"/>
      </w:pPr>
      <w:r>
        <w:rPr>
          <w:rFonts w:ascii="Arimo" w:eastAsia="Arimo" w:hAnsi="Arimo" w:cs="Arimo"/>
          <w:color w:val="000000"/>
          <w:sz w:val="24"/>
          <w:szCs w:val="24"/>
        </w:rPr>
        <w:t xml:space="preserve">The logistic model had a mean within-group AUROC of 0.695 for low bone mass, compared with 0.733 for native boosting. For prostate echotexture, logistic regression and native boosting were nearly identical (0.775 and 0.774). The paired mean-AUROC difference for boosting minus logistic regression was 0.038 (95% conditional interval, 0.024–0.052) for low bone mass and −0.001 (−0.012 to 0.011) for prostate echotexture (Table 7). These findings support target-specific model comparisons and provide no evidence of a general advantage for boosting. Imputed full-panel boosting yielded mean within-group AUROCs of 0.723 for low bone mass and 0.775 for prostate echotexture. </w:t>
      </w:r>
    </w:p>
    <w:p w:rsidR="006012FE" w:rsidRDefault="007619F7">
      <w:pPr>
        <w:spacing w:after="240" w:line="336" w:lineRule="auto"/>
      </w:pPr>
      <w:r>
        <w:rPr>
          <w:rFonts w:ascii="Arimo" w:eastAsia="Arimo" w:hAnsi="Arimo" w:cs="Arimo"/>
          <w:color w:val="000000"/>
          <w:sz w:val="24"/>
          <w:szCs w:val="24"/>
        </w:rPr>
        <w:t xml:space="preserve">Adding chemistry to demographics and vital measurements increased mean within-group AUROC from 0.660 to 0.733 for low bone mass and from 0.704 to 0.776 for prostate echotexture. Adding </w:t>
      </w:r>
      <w:proofErr w:type="spellStart"/>
      <w:r>
        <w:rPr>
          <w:rFonts w:ascii="Arimo" w:eastAsia="Arimo" w:hAnsi="Arimo" w:cs="Arimo"/>
          <w:color w:val="000000"/>
          <w:sz w:val="24"/>
          <w:szCs w:val="24"/>
        </w:rPr>
        <w:t>haematology</w:t>
      </w:r>
      <w:proofErr w:type="spellEnd"/>
      <w:r>
        <w:rPr>
          <w:rFonts w:ascii="Arimo" w:eastAsia="Arimo" w:hAnsi="Arimo" w:cs="Arimo"/>
          <w:color w:val="000000"/>
          <w:sz w:val="24"/>
          <w:szCs w:val="24"/>
        </w:rPr>
        <w:t xml:space="preserve"> yielded 0.733 and 0.774, respectively. For gallstones, adding chemistry changed AUROC from 0.603 to 0.610. The paired chemistry increments were 0.073 (95% conditional interval, 0.057–0.089) for low bone mass and 0.072 (0.056–0.089) for prostate echotexture. Adding </w:t>
      </w:r>
      <w:proofErr w:type="spellStart"/>
      <w:r>
        <w:rPr>
          <w:rFonts w:ascii="Arimo" w:eastAsia="Arimo" w:hAnsi="Arimo" w:cs="Arimo"/>
          <w:color w:val="000000"/>
          <w:sz w:val="24"/>
          <w:szCs w:val="24"/>
        </w:rPr>
        <w:t>haematology</w:t>
      </w:r>
      <w:proofErr w:type="spellEnd"/>
      <w:r>
        <w:rPr>
          <w:rFonts w:ascii="Arimo" w:eastAsia="Arimo" w:hAnsi="Arimo" w:cs="Arimo"/>
          <w:color w:val="000000"/>
          <w:sz w:val="24"/>
          <w:szCs w:val="24"/>
        </w:rPr>
        <w:t xml:space="preserve"> yielded differences of less than 0.001 (−0.007 to 0.008) and −0.002 (−0.011 to 0.008), respectively (Table 7). These results do not establish equivalence between feature sets. </w:t>
      </w:r>
    </w:p>
    <w:p w:rsidR="006012FE" w:rsidRDefault="007619F7">
      <w:pPr>
        <w:spacing w:after="240" w:line="336" w:lineRule="auto"/>
      </w:pPr>
      <w:r>
        <w:rPr>
          <w:rFonts w:ascii="Arimo" w:eastAsia="Arimo" w:hAnsi="Arimo" w:cs="Arimo"/>
          <w:color w:val="000000"/>
          <w:sz w:val="24"/>
          <w:szCs w:val="24"/>
        </w:rPr>
        <w:t xml:space="preserve"> </w:t>
      </w:r>
    </w:p>
    <w:p w:rsidR="006012FE" w:rsidRDefault="007619F7">
      <w:pPr>
        <w:spacing w:after="240" w:line="336" w:lineRule="auto"/>
      </w:pPr>
      <w:r>
        <w:rPr>
          <w:rFonts w:ascii="Arimo Bold" w:eastAsia="Arimo Bold" w:hAnsi="Arimo Bold" w:cs="Arimo Bold"/>
          <w:b/>
          <w:bCs/>
          <w:color w:val="000000"/>
          <w:sz w:val="24"/>
          <w:szCs w:val="24"/>
        </w:rPr>
        <w:t>Table 7. Paired differences in mean within-group AUROC</w:t>
      </w:r>
      <w:r>
        <w:rPr>
          <w:rFonts w:ascii="Arimo" w:eastAsia="Arimo" w:hAnsi="Arimo" w:cs="Arimo"/>
          <w:color w:val="000000"/>
          <w:sz w:val="24"/>
          <w:szCs w:val="24"/>
        </w:rPr>
        <w:t xml:space="preserve">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2257"/>
        <w:gridCol w:w="2257"/>
        <w:gridCol w:w="2258"/>
        <w:gridCol w:w="2258"/>
      </w:tblGrid>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Outcome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Comparison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Difference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95% conditional interval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Boosting minus logistic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0.038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0.024–0.052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Chemistry added to vitals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0.073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0.057–0.089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lastRenderedPageBreak/>
              <w:t xml:space="preserve">Recorded low bone mass </w:t>
            </w:r>
          </w:p>
        </w:tc>
        <w:tc>
          <w:tcPr>
            <w:tcW w:w="2257" w:type="dxa"/>
            <w:tcMar>
              <w:top w:w="180" w:type="dxa"/>
              <w:left w:w="180" w:type="dxa"/>
              <w:bottom w:w="180" w:type="dxa"/>
              <w:right w:w="180" w:type="dxa"/>
            </w:tcMar>
          </w:tcPr>
          <w:p w:rsidR="006012FE" w:rsidRDefault="007619F7">
            <w:pPr>
              <w:spacing w:after="240" w:line="336" w:lineRule="auto"/>
            </w:pPr>
            <w:proofErr w:type="spellStart"/>
            <w:r>
              <w:rPr>
                <w:rFonts w:ascii="Arimo" w:eastAsia="Arimo" w:hAnsi="Arimo" w:cs="Arimo"/>
                <w:color w:val="000000"/>
                <w:sz w:val="24"/>
                <w:szCs w:val="24"/>
              </w:rPr>
              <w:t>Haematology</w:t>
            </w:r>
            <w:proofErr w:type="spellEnd"/>
            <w:r>
              <w:rPr>
                <w:rFonts w:ascii="Arimo" w:eastAsia="Arimo" w:hAnsi="Arimo" w:cs="Arimo"/>
                <w:color w:val="000000"/>
                <w:sz w:val="24"/>
                <w:szCs w:val="24"/>
              </w:rPr>
              <w:t xml:space="preserve"> added to chemistry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&lt;0.001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−0.007 to 0.008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Boosting minus logistic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−0.001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−0.012 to 0.011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Chemistry added to vitals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0.072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0.056–0.089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2257" w:type="dxa"/>
            <w:tcMar>
              <w:top w:w="180" w:type="dxa"/>
              <w:left w:w="180" w:type="dxa"/>
              <w:bottom w:w="180" w:type="dxa"/>
              <w:right w:w="180" w:type="dxa"/>
            </w:tcMar>
          </w:tcPr>
          <w:p w:rsidR="006012FE" w:rsidRDefault="007619F7">
            <w:pPr>
              <w:spacing w:after="240" w:line="336" w:lineRule="auto"/>
            </w:pPr>
            <w:proofErr w:type="spellStart"/>
            <w:r>
              <w:rPr>
                <w:rFonts w:ascii="Arimo" w:eastAsia="Arimo" w:hAnsi="Arimo" w:cs="Arimo"/>
                <w:color w:val="000000"/>
                <w:sz w:val="24"/>
                <w:szCs w:val="24"/>
              </w:rPr>
              <w:t>Haematology</w:t>
            </w:r>
            <w:proofErr w:type="spellEnd"/>
            <w:r>
              <w:rPr>
                <w:rFonts w:ascii="Arimo" w:eastAsia="Arimo" w:hAnsi="Arimo" w:cs="Arimo"/>
                <w:color w:val="000000"/>
                <w:sz w:val="24"/>
                <w:szCs w:val="24"/>
              </w:rPr>
              <w:t xml:space="preserve"> added to chemistry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−0.002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−0.011 to 0.008 </w:t>
            </w:r>
          </w:p>
        </w:tc>
      </w:tr>
    </w:tbl>
    <w:p w:rsidR="006012FE" w:rsidRDefault="007619F7">
      <w:pPr>
        <w:spacing w:after="240" w:line="336" w:lineRule="auto"/>
      </w:pPr>
      <w:r w:rsidRPr="0010799E">
        <w:rPr>
          <w:rFonts w:ascii="Arimo Italics" w:eastAsia="Arimo Italics" w:hAnsi="Arimo Italics" w:cs="Arimo Italics"/>
          <w:i/>
          <w:iCs/>
          <w:color w:val="000000"/>
          <w:sz w:val="20"/>
          <w:szCs w:val="20"/>
        </w:rPr>
        <w:t xml:space="preserve">Post hoc analysis with 2,000 reconstructed-identity bootstrap replicates and identical weights for each pair. Positive differences </w:t>
      </w:r>
      <w:proofErr w:type="spellStart"/>
      <w:r w:rsidRPr="0010799E">
        <w:rPr>
          <w:rFonts w:ascii="Arimo Italics" w:eastAsia="Arimo Italics" w:hAnsi="Arimo Italics" w:cs="Arimo Italics"/>
          <w:i/>
          <w:iCs/>
          <w:color w:val="000000"/>
          <w:sz w:val="20"/>
          <w:szCs w:val="20"/>
        </w:rPr>
        <w:t>favour</w:t>
      </w:r>
      <w:proofErr w:type="spellEnd"/>
      <w:r w:rsidRPr="0010799E">
        <w:rPr>
          <w:rFonts w:ascii="Arimo Italics" w:eastAsia="Arimo Italics" w:hAnsi="Arimo Italics" w:cs="Arimo Italics"/>
          <w:i/>
          <w:iCs/>
          <w:color w:val="000000"/>
          <w:sz w:val="20"/>
          <w:szCs w:val="20"/>
        </w:rPr>
        <w:t xml:space="preserve"> the added block or boosting. Chemistry comparisons use native boosting with demographics and vital measurements in both arms; </w:t>
      </w:r>
      <w:proofErr w:type="spellStart"/>
      <w:r w:rsidRPr="0010799E">
        <w:rPr>
          <w:rFonts w:ascii="Arimo Italics" w:eastAsia="Arimo Italics" w:hAnsi="Arimo Italics" w:cs="Arimo Italics"/>
          <w:i/>
          <w:iCs/>
          <w:color w:val="000000"/>
          <w:sz w:val="20"/>
          <w:szCs w:val="20"/>
        </w:rPr>
        <w:t>haematology</w:t>
      </w:r>
      <w:proofErr w:type="spellEnd"/>
      <w:r w:rsidRPr="0010799E">
        <w:rPr>
          <w:rFonts w:ascii="Arimo Italics" w:eastAsia="Arimo Italics" w:hAnsi="Arimo Italics" w:cs="Arimo Italics"/>
          <w:i/>
          <w:iCs/>
          <w:color w:val="000000"/>
          <w:sz w:val="20"/>
          <w:szCs w:val="20"/>
        </w:rPr>
        <w:t xml:space="preserve"> comparisons add that block to demographics, vitals, and chemistry. The full-panel boosting–logistic comparison uses 50 predictors. Intervals condition on fitted predictions and evaluated groups; they are not multiplicity-adjusted or equivalence tests</w:t>
      </w:r>
      <w:r>
        <w:rPr>
          <w:rFonts w:ascii="Arimo Italics" w:eastAsia="Arimo Italics" w:hAnsi="Arimo Italics" w:cs="Arimo Italics"/>
          <w:i/>
          <w:iCs/>
          <w:color w:val="000000"/>
          <w:sz w:val="24"/>
          <w:szCs w:val="24"/>
        </w:rPr>
        <w:t xml:space="preserve">. </w:t>
      </w:r>
    </w:p>
    <w:p w:rsidR="006012FE" w:rsidRDefault="007619F7">
      <w:pPr>
        <w:spacing w:after="240" w:line="336" w:lineRule="auto"/>
      </w:pPr>
      <w:r>
        <w:rPr>
          <w:rFonts w:ascii="Arimo Bold" w:eastAsia="Arimo Bold" w:hAnsi="Arimo Bold" w:cs="Arimo Bold"/>
          <w:b/>
          <w:bCs/>
          <w:color w:val="000000"/>
          <w:sz w:val="24"/>
          <w:szCs w:val="24"/>
        </w:rPr>
        <w:t xml:space="preserve">3.4 Pooled, Within-Group, and Temporal Performance </w:t>
      </w:r>
    </w:p>
    <w:p w:rsidR="006012FE" w:rsidRDefault="007619F7">
      <w:pPr>
        <w:spacing w:after="240" w:line="336" w:lineRule="auto"/>
      </w:pPr>
      <w:r>
        <w:rPr>
          <w:rFonts w:ascii="Arimo" w:eastAsia="Arimo" w:hAnsi="Arimo" w:cs="Arimo"/>
          <w:color w:val="000000"/>
          <w:sz w:val="24"/>
          <w:szCs w:val="24"/>
        </w:rPr>
        <w:t xml:space="preserve">Pooling predictions produced higher AUROC than the within-group mean for several endpoints. The largest of the highlighted differences occurred for nephrolithiasis: pooled AUROC was 0.770 (95% bootstrap interval, 0.759–0.780), compared with a within-group mean of 0.649. The corresponding differences were 0.041 for prostate echotexture and 0.014 for low bone mass (Figure 1). </w:t>
      </w:r>
    </w:p>
    <w:p w:rsidR="006012FE" w:rsidRDefault="007619F7">
      <w:pPr>
        <w:spacing w:after="240" w:line="336" w:lineRule="auto"/>
      </w:pPr>
      <w:r>
        <w:rPr>
          <w:rFonts w:ascii="Arimo Bold" w:eastAsia="Arimo Bold" w:hAnsi="Arimo Bold" w:cs="Arimo Bold"/>
          <w:b/>
          <w:bCs/>
          <w:color w:val="000000"/>
          <w:sz w:val="24"/>
          <w:szCs w:val="24"/>
        </w:rPr>
        <w:t xml:space="preserve">Figure 1. Discrimination across screening groups and time </w:t>
      </w:r>
    </w:p>
    <w:p w:rsidR="006012FE" w:rsidRDefault="007619F7">
      <w:pPr>
        <w:spacing w:after="240" w:line="336" w:lineRule="auto"/>
      </w:pPr>
      <w:r>
        <w:rPr>
          <w:rFonts w:ascii="Arimo" w:eastAsia="Arimo" w:hAnsi="Arimo" w:cs="Arimo"/>
          <w:color w:val="000000"/>
          <w:sz w:val="24"/>
          <w:szCs w:val="24"/>
        </w:rPr>
        <w:t xml:space="preserve"> </w:t>
      </w:r>
    </w:p>
    <w:p w:rsidR="006012FE" w:rsidRDefault="007619F7">
      <w:pPr>
        <w:spacing w:before="120" w:after="120"/>
        <w:jc w:val="center"/>
      </w:pPr>
      <w:r>
        <w:rPr>
          <w:noProof/>
        </w:rPr>
        <w:lastRenderedPageBreak/>
        <w:drawing>
          <wp:inline distT="0" distB="0" distL="0" distR="0">
            <wp:extent cx="5734050" cy="5949076"/>
            <wp:effectExtent l="0" t="0" r="0" b="0"/>
            <wp:docPr id="2" name="Drawing 1" descr="44fd0c06d617c4577e18a19eea05cf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4fd0c06d617c4577e18a19eea05cf34.png"/>
                    <pic:cNvPicPr>
                      <a:picLocks noChangeAspect="1"/>
                    </pic:cNvPicPr>
                  </pic:nvPicPr>
                  <pic:blipFill>
                    <a:blip r:embed="rId8"/>
                    <a:srcRect l="1807" t="1097" r="1807" b="1097"/>
                    <a:stretch>
                      <a:fillRect/>
                    </a:stretch>
                  </pic:blipFill>
                  <pic:spPr>
                    <a:xfrm>
                      <a:off x="0" y="0"/>
                      <a:ext cx="5734050" cy="5949076"/>
                    </a:xfrm>
                    <a:prstGeom prst="rect">
                      <a:avLst/>
                    </a:prstGeom>
                  </pic:spPr>
                </pic:pic>
              </a:graphicData>
            </a:graphic>
          </wp:inline>
        </w:drawing>
      </w:r>
    </w:p>
    <w:p w:rsidR="006012FE" w:rsidRDefault="007619F7">
      <w:pPr>
        <w:spacing w:after="240" w:line="336" w:lineRule="auto"/>
      </w:pPr>
      <w:r>
        <w:rPr>
          <w:rFonts w:ascii="Arimo" w:eastAsia="Arimo" w:hAnsi="Arimo" w:cs="Arimo"/>
          <w:color w:val="000000"/>
          <w:sz w:val="24"/>
          <w:szCs w:val="24"/>
        </w:rPr>
        <w:t xml:space="preserve"> </w:t>
      </w:r>
    </w:p>
    <w:p w:rsidR="006012FE" w:rsidRPr="0010799E" w:rsidRDefault="007619F7">
      <w:pPr>
        <w:spacing w:after="240" w:line="336" w:lineRule="auto"/>
        <w:rPr>
          <w:sz w:val="18"/>
          <w:szCs w:val="18"/>
        </w:rPr>
      </w:pPr>
      <w:r w:rsidRPr="0010799E">
        <w:rPr>
          <w:rFonts w:ascii="Arimo Italics" w:eastAsia="Arimo Italics" w:hAnsi="Arimo Italics" w:cs="Arimo Italics"/>
          <w:i/>
          <w:iCs/>
          <w:color w:val="000000"/>
          <w:sz w:val="20"/>
          <w:szCs w:val="20"/>
        </w:rPr>
        <w:t xml:space="preserve">Panel A contrasts the unweighted mean within-group AUROC with pooled AUROC across all 11 evaluable endpoints. Error bars are 95% percentile intervals: 2,000 identity-cluster replicates for the within-group mean and the original 300 replicates for pooled estimates. Panel B compares person-grouped and temporal pooled AUROCs for four highlighted endpoints, using the original 300-replicate intervals. All intervals condition on saved predictions; none includes model refitting. Evaluation populations differ between designs. Full 50-predictor native boosting is used throughout. </w:t>
      </w:r>
    </w:p>
    <w:p w:rsidR="006012FE" w:rsidRDefault="007619F7">
      <w:pPr>
        <w:spacing w:after="240" w:line="336" w:lineRule="auto"/>
      </w:pPr>
      <w:r>
        <w:rPr>
          <w:rFonts w:ascii="Arimo" w:eastAsia="Arimo" w:hAnsi="Arimo" w:cs="Arimo"/>
          <w:color w:val="000000"/>
          <w:sz w:val="24"/>
          <w:szCs w:val="24"/>
        </w:rPr>
        <w:t xml:space="preserve">Performance was lower in temporal evaluation than in person-grouped evaluation. Low-bone-mass AUROC declined from 0.759 (95% interval, 0.748–0.770) to 0.628 (0.610–0.646), and prostate-echotexture AUROC declined from 0.843 (0.835–0.851) to 0.711 (0.697–0.730). Nephrolithiasis declined from 0.816 to 0.562 (Table 8). The </w:t>
      </w:r>
      <w:r>
        <w:rPr>
          <w:rFonts w:ascii="Arimo" w:eastAsia="Arimo" w:hAnsi="Arimo" w:cs="Arimo"/>
          <w:color w:val="000000"/>
          <w:sz w:val="24"/>
          <w:szCs w:val="24"/>
        </w:rPr>
        <w:lastRenderedPageBreak/>
        <w:t xml:space="preserve">temporal samples also had different label prevalence: 21.0% for low bone mass and 27.3% for prostate echotexture. These comparisons involve different training and test populations. </w:t>
      </w:r>
    </w:p>
    <w:p w:rsidR="006012FE" w:rsidRDefault="007619F7">
      <w:pPr>
        <w:spacing w:after="240" w:line="336" w:lineRule="auto"/>
      </w:pPr>
      <w:r>
        <w:rPr>
          <w:rFonts w:ascii="Arimo Bold" w:eastAsia="Arimo Bold" w:hAnsi="Arimo Bold" w:cs="Arimo Bold"/>
          <w:b/>
          <w:bCs/>
          <w:color w:val="000000"/>
          <w:sz w:val="24"/>
          <w:szCs w:val="24"/>
        </w:rPr>
        <w:t>Table 8. Pooled discrimination and calibration by design</w:t>
      </w:r>
      <w:r>
        <w:rPr>
          <w:rFonts w:ascii="Arimo" w:eastAsia="Arimo" w:hAnsi="Arimo" w:cs="Arimo"/>
          <w:color w:val="000000"/>
          <w:sz w:val="24"/>
          <w:szCs w:val="24"/>
        </w:rPr>
        <w:t xml:space="preserve">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1962"/>
        <w:gridCol w:w="1777"/>
        <w:gridCol w:w="1749"/>
        <w:gridCol w:w="1760"/>
        <w:gridCol w:w="1782"/>
      </w:tblGrid>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Outcome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Design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Visits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AUROC (95% interval)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Calibration slope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Person</w:t>
            </w:r>
            <w:r w:rsidR="005D0EF8">
              <w:rPr>
                <w:rFonts w:ascii="Arimo" w:eastAsia="Arimo" w:hAnsi="Arimo" w:cs="Arimo"/>
                <w:color w:val="000000"/>
                <w:sz w:val="24"/>
                <w:szCs w:val="24"/>
              </w:rPr>
              <w:t>-grouped</w:t>
            </w:r>
            <w:r>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20,238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0.759 (0.748–0.770)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0.898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1806" w:type="dxa"/>
            <w:tcMar>
              <w:top w:w="180" w:type="dxa"/>
              <w:left w:w="180" w:type="dxa"/>
              <w:bottom w:w="180" w:type="dxa"/>
              <w:right w:w="180" w:type="dxa"/>
            </w:tcMar>
          </w:tcPr>
          <w:p w:rsidR="006012FE" w:rsidRDefault="005D0EF8">
            <w:pPr>
              <w:spacing w:after="240" w:line="336" w:lineRule="auto"/>
            </w:pPr>
            <w:r>
              <w:rPr>
                <w:rFonts w:ascii="Arimo" w:eastAsia="Arimo" w:hAnsi="Arimo" w:cs="Arimo"/>
                <w:color w:val="000000"/>
                <w:sz w:val="24"/>
                <w:szCs w:val="24"/>
              </w:rPr>
              <w:t>Screening group</w:t>
            </w:r>
            <w:r w:rsidR="007619F7">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15,404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0.747 (0.735–0.757)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0.828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Temporal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5,670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0.628 (0.610–0.646)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0.422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Person</w:t>
            </w:r>
            <w:r w:rsidR="005D0EF8">
              <w:rPr>
                <w:rFonts w:ascii="Arimo" w:eastAsia="Arimo" w:hAnsi="Arimo" w:cs="Arimo"/>
                <w:color w:val="000000"/>
                <w:sz w:val="24"/>
                <w:szCs w:val="24"/>
              </w:rPr>
              <w:t>-grouped</w:t>
            </w:r>
            <w:r>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13,921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0.843 (0.835–0.851)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0.954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1806" w:type="dxa"/>
            <w:tcMar>
              <w:top w:w="180" w:type="dxa"/>
              <w:left w:w="180" w:type="dxa"/>
              <w:bottom w:w="180" w:type="dxa"/>
              <w:right w:w="180" w:type="dxa"/>
            </w:tcMar>
          </w:tcPr>
          <w:p w:rsidR="006012FE" w:rsidRDefault="005D0EF8">
            <w:pPr>
              <w:spacing w:after="240" w:line="336" w:lineRule="auto"/>
            </w:pPr>
            <w:r>
              <w:rPr>
                <w:rFonts w:ascii="Arimo" w:eastAsia="Arimo" w:hAnsi="Arimo" w:cs="Arimo"/>
                <w:color w:val="000000"/>
                <w:sz w:val="24"/>
                <w:szCs w:val="24"/>
              </w:rPr>
              <w:t>Screening group</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8,203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0.815 (0.805–0.826)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0.837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lastRenderedPageBreak/>
              <w:t xml:space="preserve">Prostate echotexture, heterogeneous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Temporal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4,228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0.711 (0.697–0.730)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0.516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Nephrolithiasis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Person</w:t>
            </w:r>
            <w:r w:rsidR="005D0EF8">
              <w:rPr>
                <w:rFonts w:ascii="Arimo" w:eastAsia="Arimo" w:hAnsi="Arimo" w:cs="Arimo"/>
                <w:color w:val="000000"/>
                <w:sz w:val="24"/>
                <w:szCs w:val="24"/>
              </w:rPr>
              <w:t>-grouped</w:t>
            </w:r>
            <w:r>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31,772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0.816 (0.808–0.824)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0.987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Nephrolithiasis </w:t>
            </w:r>
          </w:p>
        </w:tc>
        <w:tc>
          <w:tcPr>
            <w:tcW w:w="1806" w:type="dxa"/>
            <w:tcMar>
              <w:top w:w="180" w:type="dxa"/>
              <w:left w:w="180" w:type="dxa"/>
              <w:bottom w:w="180" w:type="dxa"/>
              <w:right w:w="180" w:type="dxa"/>
            </w:tcMar>
          </w:tcPr>
          <w:p w:rsidR="006012FE" w:rsidRDefault="005D0EF8">
            <w:pPr>
              <w:spacing w:after="240" w:line="336" w:lineRule="auto"/>
            </w:pPr>
            <w:r>
              <w:rPr>
                <w:rFonts w:ascii="Arimo" w:eastAsia="Arimo" w:hAnsi="Arimo" w:cs="Arimo"/>
                <w:color w:val="000000"/>
                <w:sz w:val="24"/>
                <w:szCs w:val="24"/>
              </w:rPr>
              <w:t>Screening group</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23,874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0.770 (0.759–0.780)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0.761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Nephrolithiasis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Temporal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12,468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0.562 (0.527–0.606)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0.105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Gallstones </w:t>
            </w:r>
          </w:p>
        </w:tc>
        <w:tc>
          <w:tcPr>
            <w:tcW w:w="1806" w:type="dxa"/>
            <w:tcMar>
              <w:top w:w="180" w:type="dxa"/>
              <w:left w:w="180" w:type="dxa"/>
              <w:bottom w:w="180" w:type="dxa"/>
              <w:right w:w="180" w:type="dxa"/>
            </w:tcMar>
          </w:tcPr>
          <w:p w:rsidR="006012FE" w:rsidRDefault="005D0EF8">
            <w:pPr>
              <w:spacing w:after="240" w:line="336" w:lineRule="auto"/>
            </w:pPr>
            <w:r>
              <w:rPr>
                <w:rFonts w:ascii="Arimo" w:eastAsia="Arimo" w:hAnsi="Arimo" w:cs="Arimo"/>
                <w:color w:val="000000"/>
                <w:sz w:val="24"/>
                <w:szCs w:val="24"/>
              </w:rPr>
              <w:t>Person-grouped</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31,832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0.637 (0.615–0.659)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0.638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Gallstones </w:t>
            </w:r>
          </w:p>
        </w:tc>
        <w:tc>
          <w:tcPr>
            <w:tcW w:w="1806" w:type="dxa"/>
            <w:tcMar>
              <w:top w:w="180" w:type="dxa"/>
              <w:left w:w="180" w:type="dxa"/>
              <w:bottom w:w="180" w:type="dxa"/>
              <w:right w:w="180" w:type="dxa"/>
            </w:tcMar>
          </w:tcPr>
          <w:p w:rsidR="006012FE" w:rsidRDefault="005D0EF8">
            <w:pPr>
              <w:spacing w:after="240" w:line="336" w:lineRule="auto"/>
            </w:pPr>
            <w:r>
              <w:rPr>
                <w:rFonts w:ascii="Arimo" w:eastAsia="Arimo" w:hAnsi="Arimo" w:cs="Arimo"/>
                <w:color w:val="000000"/>
                <w:sz w:val="24"/>
                <w:szCs w:val="24"/>
              </w:rPr>
              <w:t>Screening group</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23,335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0.659 (0.637–0.687)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0.743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Gallstones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Temporal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12,200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0.599 (0.574–0.628)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0.406 </w:t>
            </w:r>
          </w:p>
        </w:tc>
      </w:tr>
    </w:tbl>
    <w:p w:rsidR="006012FE" w:rsidRPr="0010799E" w:rsidRDefault="007619F7">
      <w:pPr>
        <w:spacing w:after="240" w:line="336" w:lineRule="auto"/>
        <w:rPr>
          <w:sz w:val="18"/>
          <w:szCs w:val="18"/>
        </w:rPr>
      </w:pPr>
      <w:r w:rsidRPr="0010799E">
        <w:rPr>
          <w:rFonts w:ascii="Arimo Italics" w:eastAsia="Arimo Italics" w:hAnsi="Arimo Italics" w:cs="Arimo Italics"/>
          <w:i/>
          <w:iCs/>
          <w:color w:val="000000"/>
          <w:sz w:val="20"/>
          <w:szCs w:val="20"/>
        </w:rPr>
        <w:t>All estimates use full-panel native boosting. Intervals are saved 300-replicate reconstructed-person-clustered percentile intervals for pooled AUROC, conditional on fixed out-of-fold predictions. They do not quantify uncertainty in the mean within-group AUROC. Calibration slope comes from a model with a jointly estimated intercept.</w:t>
      </w:r>
      <w:r w:rsidRPr="0010799E">
        <w:rPr>
          <w:rFonts w:ascii="Arimo" w:eastAsia="Arimo" w:hAnsi="Arimo" w:cs="Arimo"/>
          <w:color w:val="000000"/>
          <w:sz w:val="20"/>
          <w:szCs w:val="20"/>
        </w:rPr>
        <w:t xml:space="preserve"> </w:t>
      </w:r>
    </w:p>
    <w:p w:rsidR="006012FE" w:rsidRDefault="007619F7">
      <w:pPr>
        <w:spacing w:after="240" w:line="336" w:lineRule="auto"/>
      </w:pPr>
      <w:r>
        <w:rPr>
          <w:rFonts w:ascii="Arimo Bold" w:eastAsia="Arimo Bold" w:hAnsi="Arimo Bold" w:cs="Arimo Bold"/>
          <w:b/>
          <w:bCs/>
          <w:color w:val="000000"/>
          <w:sz w:val="24"/>
          <w:szCs w:val="24"/>
        </w:rPr>
        <w:lastRenderedPageBreak/>
        <w:t xml:space="preserve">3.5 Calibration and Exploratory Decision Analysis </w:t>
      </w:r>
    </w:p>
    <w:p w:rsidR="006012FE" w:rsidRDefault="007619F7">
      <w:pPr>
        <w:spacing w:after="240" w:line="336" w:lineRule="auto"/>
      </w:pPr>
      <w:r>
        <w:rPr>
          <w:rFonts w:ascii="Arimo" w:eastAsia="Arimo" w:hAnsi="Arimo" w:cs="Arimo"/>
          <w:color w:val="000000"/>
          <w:sz w:val="24"/>
          <w:szCs w:val="24"/>
        </w:rPr>
        <w:t xml:space="preserve">Pooled screening-group-held-out calibration slopes for native boosting were 0.828 for low bone mass and 0.837 for prostate echotexture, with Brier scores of 0.107 and 0.115. In temporal evaluation, the slopes were 0.422 and 0.516, and Brier scores were 0.172 and 0.208. Binned calibration plots illustrate the change in agreement between predicted and observed probabilities (Figure 2). </w:t>
      </w:r>
    </w:p>
    <w:p w:rsidR="006012FE" w:rsidRDefault="007619F7">
      <w:pPr>
        <w:spacing w:after="240" w:line="336" w:lineRule="auto"/>
      </w:pPr>
      <w:r>
        <w:rPr>
          <w:rFonts w:ascii="Arimo Bold" w:eastAsia="Arimo Bold" w:hAnsi="Arimo Bold" w:cs="Arimo Bold"/>
          <w:b/>
          <w:bCs/>
          <w:color w:val="000000"/>
          <w:sz w:val="24"/>
          <w:szCs w:val="24"/>
        </w:rPr>
        <w:t xml:space="preserve">Figure 2. Calibration of the two highlighted endpoints </w:t>
      </w:r>
    </w:p>
    <w:p w:rsidR="006012FE" w:rsidRDefault="007619F7">
      <w:pPr>
        <w:spacing w:before="120" w:after="120"/>
        <w:jc w:val="center"/>
      </w:pPr>
      <w:r>
        <w:rPr>
          <w:noProof/>
        </w:rPr>
        <w:drawing>
          <wp:inline distT="0" distB="0" distL="0" distR="0">
            <wp:extent cx="5734050" cy="2958916"/>
            <wp:effectExtent l="0" t="0" r="0" b="0"/>
            <wp:docPr id="3" name="Drawing 2" descr="8803f98ce5f87bcb190cdce6ad084a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803f98ce5f87bcb190cdce6ad084a36.png"/>
                    <pic:cNvPicPr>
                      <a:picLocks noChangeAspect="1"/>
                    </pic:cNvPicPr>
                  </pic:nvPicPr>
                  <pic:blipFill>
                    <a:blip r:embed="rId9"/>
                    <a:stretch>
                      <a:fillRect/>
                    </a:stretch>
                  </pic:blipFill>
                  <pic:spPr>
                    <a:xfrm>
                      <a:off x="0" y="0"/>
                      <a:ext cx="5734050" cy="2958916"/>
                    </a:xfrm>
                    <a:prstGeom prst="rect">
                      <a:avLst/>
                    </a:prstGeom>
                  </pic:spPr>
                </pic:pic>
              </a:graphicData>
            </a:graphic>
          </wp:inline>
        </w:drawing>
      </w:r>
    </w:p>
    <w:p w:rsidR="006012FE" w:rsidRDefault="007619F7">
      <w:pPr>
        <w:spacing w:after="240" w:line="336" w:lineRule="auto"/>
      </w:pPr>
      <w:r>
        <w:rPr>
          <w:rFonts w:ascii="Arimo" w:eastAsia="Arimo" w:hAnsi="Arimo" w:cs="Arimo"/>
          <w:color w:val="000000"/>
        </w:rPr>
        <w:br/>
      </w:r>
      <w:r w:rsidRPr="00681452">
        <w:rPr>
          <w:rFonts w:ascii="Arimo Italics" w:eastAsia="Arimo Italics" w:hAnsi="Arimo Italics" w:cs="Arimo Italics"/>
          <w:i/>
          <w:iCs/>
          <w:color w:val="000000"/>
          <w:sz w:val="18"/>
          <w:szCs w:val="18"/>
        </w:rPr>
        <w:t>Each point gives the mean predicted probability and observed positive proportion within one of ten prediction-quantile bins calculated separately for each endpoint and evaluation design. Lines connect bins for readability and are not smoothed estimates. The dashed line denotes ideal calibration. Native boosting with 50 predictors is used throughout. Curves describe different evaluation populations, contain no uncertainty bands, and do not show performance after recalibration</w:t>
      </w:r>
      <w:r w:rsidRPr="00681452">
        <w:rPr>
          <w:rFonts w:ascii="Arimo Italics" w:eastAsia="Arimo Italics" w:hAnsi="Arimo Italics" w:cs="Arimo Italics"/>
          <w:i/>
          <w:iCs/>
          <w:color w:val="000000"/>
        </w:rPr>
        <w:t>.</w:t>
      </w:r>
      <w:r w:rsidRPr="00681452">
        <w:rPr>
          <w:rFonts w:ascii="Arimo" w:eastAsia="Arimo" w:hAnsi="Arimo" w:cs="Arimo"/>
          <w:color w:val="000000"/>
        </w:rPr>
        <w:t xml:space="preserve"> </w:t>
      </w:r>
    </w:p>
    <w:p w:rsidR="006012FE" w:rsidRDefault="007619F7">
      <w:pPr>
        <w:spacing w:after="240" w:line="336" w:lineRule="auto"/>
        <w:rPr>
          <w:rFonts w:ascii="Arimo" w:eastAsia="Arimo" w:hAnsi="Arimo" w:cs="Arimo"/>
          <w:color w:val="000000"/>
          <w:sz w:val="24"/>
          <w:szCs w:val="24"/>
        </w:rPr>
      </w:pPr>
      <w:r>
        <w:rPr>
          <w:rFonts w:ascii="Arimo" w:eastAsia="Arimo" w:hAnsi="Arimo" w:cs="Arimo"/>
          <w:color w:val="000000"/>
          <w:sz w:val="24"/>
          <w:szCs w:val="24"/>
        </w:rPr>
        <w:t xml:space="preserve">Pooled average precision for low bone mass was 0.307 in group-held-out evaluation and 0.317 in temporal evaluation, despite the lower temporal AUROC; the corresponding observed </w:t>
      </w:r>
      <w:proofErr w:type="spellStart"/>
      <w:r>
        <w:rPr>
          <w:rFonts w:ascii="Arimo" w:eastAsia="Arimo" w:hAnsi="Arimo" w:cs="Arimo"/>
          <w:color w:val="000000"/>
          <w:sz w:val="24"/>
          <w:szCs w:val="24"/>
        </w:rPr>
        <w:t>prevalences</w:t>
      </w:r>
      <w:proofErr w:type="spellEnd"/>
      <w:r>
        <w:rPr>
          <w:rFonts w:ascii="Arimo" w:eastAsia="Arimo" w:hAnsi="Arimo" w:cs="Arimo"/>
          <w:color w:val="000000"/>
          <w:sz w:val="24"/>
          <w:szCs w:val="24"/>
        </w:rPr>
        <w:t xml:space="preserve"> were 13.5% and 21.0%. For prostate echotexture, average precision was 0.467 and 0.477 while prevalence increased from 16.5% to 27.3% (Table 9). Average precision therefore cannot be compared across these samples without its prevalence context. </w:t>
      </w:r>
    </w:p>
    <w:p w:rsidR="00681452" w:rsidRDefault="00681452">
      <w:pPr>
        <w:spacing w:after="240" w:line="336" w:lineRule="auto"/>
        <w:rPr>
          <w:rFonts w:ascii="Arimo" w:eastAsia="Arimo" w:hAnsi="Arimo" w:cs="Arimo"/>
          <w:color w:val="000000"/>
          <w:sz w:val="24"/>
          <w:szCs w:val="24"/>
        </w:rPr>
      </w:pPr>
    </w:p>
    <w:p w:rsidR="00681452" w:rsidRDefault="00681452">
      <w:pPr>
        <w:spacing w:after="240" w:line="336" w:lineRule="auto"/>
      </w:pPr>
    </w:p>
    <w:p w:rsidR="006012FE" w:rsidRDefault="007619F7">
      <w:pPr>
        <w:spacing w:after="240" w:line="336" w:lineRule="auto"/>
      </w:pPr>
      <w:r>
        <w:rPr>
          <w:rFonts w:ascii="Arimo Bold" w:eastAsia="Arimo Bold" w:hAnsi="Arimo Bold" w:cs="Arimo Bold"/>
          <w:b/>
          <w:bCs/>
          <w:color w:val="000000"/>
          <w:sz w:val="24"/>
          <w:szCs w:val="24"/>
        </w:rPr>
        <w:lastRenderedPageBreak/>
        <w:t>Table 9. Precision and probability performance</w:t>
      </w:r>
      <w:r>
        <w:rPr>
          <w:rFonts w:ascii="Arimo" w:eastAsia="Arimo" w:hAnsi="Arimo" w:cs="Arimo"/>
          <w:color w:val="000000"/>
          <w:sz w:val="24"/>
          <w:szCs w:val="24"/>
        </w:rPr>
        <w:t xml:space="preserve">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1962"/>
        <w:gridCol w:w="1476"/>
        <w:gridCol w:w="1399"/>
        <w:gridCol w:w="1423"/>
        <w:gridCol w:w="1263"/>
        <w:gridCol w:w="1507"/>
      </w:tblGrid>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Outcome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Design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Positive, %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Average precision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Brier score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Calibration slope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Person</w:t>
            </w:r>
            <w:r w:rsidR="005D0EF8">
              <w:rPr>
                <w:rFonts w:ascii="Arimo" w:eastAsia="Arimo" w:hAnsi="Arimo" w:cs="Arimo"/>
                <w:color w:val="000000"/>
                <w:sz w:val="24"/>
                <w:szCs w:val="24"/>
              </w:rPr>
              <w:t>-grouped</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13.5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0.323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0.104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0.898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1505" w:type="dxa"/>
            <w:tcMar>
              <w:top w:w="180" w:type="dxa"/>
              <w:left w:w="180" w:type="dxa"/>
              <w:bottom w:w="180" w:type="dxa"/>
              <w:right w:w="180" w:type="dxa"/>
            </w:tcMar>
          </w:tcPr>
          <w:p w:rsidR="006012FE" w:rsidRDefault="005D0EF8">
            <w:pPr>
              <w:spacing w:after="240" w:line="336" w:lineRule="auto"/>
            </w:pPr>
            <w:r>
              <w:rPr>
                <w:rFonts w:ascii="Arimo" w:eastAsia="Arimo" w:hAnsi="Arimo" w:cs="Arimo"/>
                <w:color w:val="000000"/>
                <w:sz w:val="24"/>
                <w:szCs w:val="24"/>
              </w:rPr>
              <w:t>Screening group</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13.5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0.307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0.107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0.828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Temporal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21.0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0.317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0.172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0.422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1505" w:type="dxa"/>
            <w:tcMar>
              <w:top w:w="180" w:type="dxa"/>
              <w:left w:w="180" w:type="dxa"/>
              <w:bottom w:w="180" w:type="dxa"/>
              <w:right w:w="180" w:type="dxa"/>
            </w:tcMar>
          </w:tcPr>
          <w:p w:rsidR="006012FE" w:rsidRDefault="005D0EF8">
            <w:pPr>
              <w:spacing w:after="240" w:line="336" w:lineRule="auto"/>
            </w:pPr>
            <w:r>
              <w:rPr>
                <w:rFonts w:ascii="Arimo" w:eastAsia="Arimo" w:hAnsi="Arimo" w:cs="Arimo"/>
                <w:color w:val="000000"/>
                <w:sz w:val="24"/>
                <w:szCs w:val="24"/>
              </w:rPr>
              <w:t>Person-grouped</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14.6 </w:t>
            </w:r>
          </w:p>
        </w:tc>
        <w:tc>
          <w:tcPr>
            <w:tcW w:w="1505" w:type="dxa"/>
            <w:tcMar>
              <w:top w:w="180" w:type="dxa"/>
              <w:left w:w="180" w:type="dxa"/>
              <w:bottom w:w="180" w:type="dxa"/>
              <w:right w:w="180" w:type="dxa"/>
            </w:tcMar>
          </w:tcPr>
          <w:p w:rsidR="006012FE" w:rsidRDefault="007619F7">
            <w:pPr>
              <w:spacing w:after="240" w:line="336" w:lineRule="auto"/>
              <w:rPr>
                <w:lang w:bidi="fa-IR"/>
              </w:rPr>
            </w:pPr>
            <w:r>
              <w:rPr>
                <w:rFonts w:ascii="Arimo" w:eastAsia="Arimo" w:hAnsi="Arimo" w:cs="Arimo"/>
                <w:color w:val="000000"/>
                <w:sz w:val="24"/>
                <w:szCs w:val="24"/>
              </w:rPr>
              <w:t xml:space="preserve">0.481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0.097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0.954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1505" w:type="dxa"/>
            <w:tcMar>
              <w:top w:w="180" w:type="dxa"/>
              <w:left w:w="180" w:type="dxa"/>
              <w:bottom w:w="180" w:type="dxa"/>
              <w:right w:w="180" w:type="dxa"/>
            </w:tcMar>
          </w:tcPr>
          <w:p w:rsidR="006012FE" w:rsidRDefault="005D0EF8">
            <w:pPr>
              <w:spacing w:after="240" w:line="336" w:lineRule="auto"/>
            </w:pPr>
            <w:r>
              <w:rPr>
                <w:rFonts w:ascii="Arimo" w:eastAsia="Arimo" w:hAnsi="Arimo" w:cs="Arimo"/>
                <w:color w:val="000000"/>
                <w:sz w:val="24"/>
                <w:szCs w:val="24"/>
              </w:rPr>
              <w:t>Screening group</w:t>
            </w:r>
            <w:r w:rsidR="007619F7">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16.5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0.467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0.115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0.837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Temporal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27.3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0.477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0.208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0.516 </w:t>
            </w:r>
          </w:p>
        </w:tc>
      </w:tr>
    </w:tbl>
    <w:p w:rsidR="006012FE" w:rsidRPr="00681452" w:rsidRDefault="007619F7">
      <w:pPr>
        <w:spacing w:after="240" w:line="336" w:lineRule="auto"/>
        <w:rPr>
          <w:sz w:val="18"/>
          <w:szCs w:val="18"/>
        </w:rPr>
      </w:pPr>
      <w:r w:rsidRPr="00681452">
        <w:rPr>
          <w:rFonts w:ascii="Arimo Italics" w:eastAsia="Arimo Italics" w:hAnsi="Arimo Italics" w:cs="Arimo Italics"/>
          <w:i/>
          <w:iCs/>
          <w:color w:val="000000"/>
          <w:sz w:val="20"/>
          <w:szCs w:val="20"/>
        </w:rPr>
        <w:t>All estimates are pooled and use 50-predictor native boosting. Average precision is the implementation's AUPRC summary and must be interpreted relative to the positive proportion. Brier scores are mean squared probability errors and are also sensitive to the evaluation sample. The calibration slope is estimated jointly with an intercept, with ideal slope 1.</w:t>
      </w:r>
      <w:r w:rsidRPr="00681452">
        <w:rPr>
          <w:rFonts w:ascii="Arimo" w:eastAsia="Arimo" w:hAnsi="Arimo" w:cs="Arimo"/>
          <w:color w:val="000000"/>
          <w:sz w:val="20"/>
          <w:szCs w:val="20"/>
        </w:rPr>
        <w:t xml:space="preserve"> </w:t>
      </w:r>
    </w:p>
    <w:p w:rsidR="006012FE" w:rsidRDefault="007619F7">
      <w:pPr>
        <w:spacing w:after="240" w:line="336" w:lineRule="auto"/>
      </w:pPr>
      <w:r>
        <w:rPr>
          <w:rFonts w:ascii="Arimo" w:eastAsia="Arimo" w:hAnsi="Arimo" w:cs="Arimo"/>
          <w:color w:val="000000"/>
          <w:sz w:val="24"/>
          <w:szCs w:val="24"/>
        </w:rPr>
        <w:t xml:space="preserve">At a threshold probability of 0.10, the pooled decision-curve calculations showed net-benefit gains over the better of testing all or none of 2.61 per 100 visits for low bone </w:t>
      </w:r>
      <w:r>
        <w:rPr>
          <w:rFonts w:ascii="Arimo" w:eastAsia="Arimo" w:hAnsi="Arimo" w:cs="Arimo"/>
          <w:color w:val="000000"/>
          <w:sz w:val="24"/>
          <w:szCs w:val="24"/>
        </w:rPr>
        <w:lastRenderedPageBreak/>
        <w:t xml:space="preserve">mass and 2.61 for prostate echotexture. The analogous value was 2.40 for nephrolithiasis and −0.03 for gallstones. Positive pooled net benefit was therefore not unique to the two candidate targets, and these calculations should be interpreted alongside within-group discrimination and the assumed clinical meaning of each endpoint. </w:t>
      </w:r>
    </w:p>
    <w:p w:rsidR="006012FE" w:rsidRDefault="007619F7">
      <w:pPr>
        <w:spacing w:after="240" w:line="336" w:lineRule="auto"/>
      </w:pPr>
      <w:r>
        <w:rPr>
          <w:rFonts w:ascii="Arimo" w:eastAsia="Arimo" w:hAnsi="Arimo" w:cs="Arimo"/>
          <w:color w:val="000000"/>
          <w:sz w:val="24"/>
          <w:szCs w:val="24"/>
        </w:rPr>
        <w:t xml:space="preserve">Exploratory subgroup results used pooled out-of-fold predictions. Low-bone-mass AUROC was 0.736 in men and 0.765 in women, and 0.794 below age 30 compared with 0.665 at age 50 or older. These subgroup summaries were not adjusted for screening-group composition and do not constitute a formal fairness assessment. </w:t>
      </w:r>
    </w:p>
    <w:p w:rsidR="006012FE" w:rsidRDefault="007619F7">
      <w:pPr>
        <w:spacing w:after="240" w:line="336" w:lineRule="auto"/>
      </w:pPr>
      <w:r>
        <w:rPr>
          <w:rFonts w:ascii="Arimo Bold" w:eastAsia="Arimo Bold" w:hAnsi="Arimo Bold" w:cs="Arimo Bold"/>
          <w:b/>
          <w:bCs/>
          <w:color w:val="000000"/>
          <w:sz w:val="24"/>
          <w:szCs w:val="24"/>
        </w:rPr>
        <w:t xml:space="preserve">3.6 Candidate Configurations </w:t>
      </w:r>
    </w:p>
    <w:p w:rsidR="006012FE" w:rsidRDefault="007619F7">
      <w:pPr>
        <w:spacing w:after="240" w:line="336" w:lineRule="auto"/>
      </w:pPr>
      <w:r>
        <w:rPr>
          <w:rFonts w:ascii="Arimo" w:eastAsia="Arimo" w:hAnsi="Arimo" w:cs="Arimo"/>
          <w:color w:val="000000"/>
          <w:sz w:val="24"/>
          <w:szCs w:val="24"/>
        </w:rPr>
        <w:t xml:space="preserve">After excluding VT D3, the imputed candidate configurations had mean within-group AUROCs of 0.715 for low bone mass and 0.766 for prostate echotexture. Common thresholds selected from the retrospective group predictions were 0.07181 and 0.04693, respectively. At these thresholds, the median proportion of tests below the cutoff was 26.7% for densitometry and 26.1% for prostate ultrasound, while sensitivity ranged from 78.3% to 96.4% and from 82.8% to 98.5%, respectively (Table 10). The wide group-level sensitivity ranges are the key operational finding. </w:t>
      </w:r>
    </w:p>
    <w:p w:rsidR="006012FE" w:rsidRDefault="007619F7">
      <w:pPr>
        <w:spacing w:after="240" w:line="336" w:lineRule="auto"/>
      </w:pPr>
      <w:r>
        <w:rPr>
          <w:rFonts w:ascii="Arimo Bold" w:eastAsia="Arimo Bold" w:hAnsi="Arimo Bold" w:cs="Arimo Bold"/>
          <w:b/>
          <w:bCs/>
          <w:color w:val="000000"/>
          <w:sz w:val="24"/>
          <w:szCs w:val="24"/>
        </w:rPr>
        <w:t>Table 10. Exploratory candidate-model operating points</w:t>
      </w:r>
      <w:r>
        <w:rPr>
          <w:rFonts w:ascii="Arimo" w:eastAsia="Arimo" w:hAnsi="Arimo" w:cs="Arimo"/>
          <w:color w:val="000000"/>
          <w:sz w:val="24"/>
          <w:szCs w:val="24"/>
        </w:rPr>
        <w:t xml:space="preserve">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1962"/>
        <w:gridCol w:w="1756"/>
        <w:gridCol w:w="1762"/>
        <w:gridCol w:w="1784"/>
        <w:gridCol w:w="1766"/>
      </w:tblGrid>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Outcome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Groups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Mean AUROC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Sensitivity, % median (range)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Tests avoided, % median (range)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12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0.715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89.9 (78.3–96.4)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26.7 (13.9–64.5)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10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0.766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89.7 (82.8–98.5)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26.1 (4.8–75.7) </w:t>
            </w:r>
          </w:p>
        </w:tc>
      </w:tr>
    </w:tbl>
    <w:p w:rsidR="006012FE" w:rsidRPr="00681452" w:rsidRDefault="007619F7">
      <w:pPr>
        <w:spacing w:after="240" w:line="336" w:lineRule="auto"/>
        <w:rPr>
          <w:sz w:val="18"/>
          <w:szCs w:val="18"/>
        </w:rPr>
      </w:pPr>
      <w:r w:rsidRPr="00681452">
        <w:rPr>
          <w:rFonts w:ascii="Arimo Italics" w:eastAsia="Arimo Italics" w:hAnsi="Arimo Italics" w:cs="Arimo Italics"/>
          <w:i/>
          <w:iCs/>
          <w:color w:val="000000"/>
          <w:sz w:val="20"/>
          <w:szCs w:val="20"/>
        </w:rPr>
        <w:lastRenderedPageBreak/>
        <w:t xml:space="preserve">Candidate models use median-imputed boosting with 49 predictors, excluding VT D3. A common threshold was selected from the median of group-specific thresholds targeting 90% sensitivity and then </w:t>
      </w:r>
      <w:proofErr w:type="spellStart"/>
      <w:r w:rsidRPr="00681452">
        <w:rPr>
          <w:rFonts w:ascii="Arimo Italics" w:eastAsia="Arimo Italics" w:hAnsi="Arimo Italics" w:cs="Arimo Italics"/>
          <w:i/>
          <w:iCs/>
          <w:color w:val="000000"/>
          <w:sz w:val="20"/>
          <w:szCs w:val="20"/>
        </w:rPr>
        <w:t>summarised</w:t>
      </w:r>
      <w:proofErr w:type="spellEnd"/>
      <w:r w:rsidRPr="00681452">
        <w:rPr>
          <w:rFonts w:ascii="Arimo Italics" w:eastAsia="Arimo Italics" w:hAnsi="Arimo Italics" w:cs="Arimo Italics"/>
          <w:i/>
          <w:iCs/>
          <w:color w:val="000000"/>
          <w:sz w:val="20"/>
          <w:szCs w:val="20"/>
        </w:rPr>
        <w:t xml:space="preserve"> in the same retrospective groups; values should therefore be read as exploratory workload and sensitivity estimates. </w:t>
      </w:r>
    </w:p>
    <w:p w:rsidR="006012FE" w:rsidRDefault="007619F7">
      <w:pPr>
        <w:spacing w:after="240" w:line="336" w:lineRule="auto"/>
      </w:pPr>
      <w:r>
        <w:rPr>
          <w:rFonts w:ascii="Arimo Italics" w:eastAsia="Arimo Italics" w:hAnsi="Arimo Italics" w:cs="Arimo Italics"/>
          <w:i/>
          <w:iCs/>
          <w:color w:val="000000"/>
          <w:sz w:val="24"/>
          <w:szCs w:val="24"/>
        </w:rPr>
        <w:t xml:space="preserve"> </w:t>
      </w:r>
    </w:p>
    <w:p w:rsidR="006012FE" w:rsidRDefault="007619F7">
      <w:pPr>
        <w:spacing w:after="240" w:line="336" w:lineRule="auto"/>
      </w:pPr>
      <w:r>
        <w:rPr>
          <w:rFonts w:ascii="Arimo Bold" w:eastAsia="Arimo Bold" w:hAnsi="Arimo Bold" w:cs="Arimo Bold"/>
          <w:b/>
          <w:bCs/>
          <w:color w:val="000000"/>
          <w:sz w:val="24"/>
          <w:szCs w:val="24"/>
        </w:rPr>
        <w:t xml:space="preserve">3.7 Identity and VT D3 Audit Findings </w:t>
      </w:r>
    </w:p>
    <w:p w:rsidR="006012FE" w:rsidRDefault="007619F7">
      <w:pPr>
        <w:spacing w:after="240" w:line="336" w:lineRule="auto"/>
      </w:pPr>
      <w:r>
        <w:rPr>
          <w:rFonts w:ascii="Arimo" w:eastAsia="Arimo" w:hAnsi="Arimo" w:cs="Arimo"/>
          <w:color w:val="000000"/>
          <w:sz w:val="24"/>
          <w:szCs w:val="24"/>
        </w:rPr>
        <w:t xml:space="preserve">The archive provides no reference patient key, so the number of reconstructed identities that merge or split true individuals is unknown. The VT D3 association was strongly sensitive to operational adjustment. Among labelled records with complete VT D3, age and sex (n = 18,428), the odds ratio per 10 source units was 1.523 after age/sex adjustment and 0.965 after additionally including screening-group and extraction-batch indicators. First-record estimates were 1.594 and 0.919 (n = 5,235). These exploratory point estimates are descriptive and are not causal or confirmatory effects. The earliest batch had no observed VT D3; batch medians in observed records rose from 23.4–24.7 in 1398 part 2 through 1399 to 38.6–39.7 in 1401. Detailed denominators and batch summaries are in Additional file 2. </w:t>
      </w:r>
    </w:p>
    <w:p w:rsidR="006012FE" w:rsidRDefault="007619F7">
      <w:pPr>
        <w:spacing w:after="240" w:line="336" w:lineRule="auto"/>
      </w:pPr>
      <w:r>
        <w:rPr>
          <w:rFonts w:ascii="Arimo" w:eastAsia="Arimo" w:hAnsi="Arimo" w:cs="Arimo"/>
          <w:color w:val="000000"/>
          <w:sz w:val="24"/>
          <w:szCs w:val="24"/>
        </w:rPr>
        <w:t xml:space="preserve">Attenuation after operational adjustment is consistent with confounding by group/batch and weakens an interpretation based solely on a biological VT D3 effect. It does not establish an assay-batch fault, exclude confounding by testing indication or previous treatment, or rule out leakage. Assay identity, instrument/calibration records, supplements, testing indications, and within-visit timestamps were unavailable, so the cause could not be determined. Candidate models therefore continue to exclude VT D3. </w:t>
      </w:r>
    </w:p>
    <w:p w:rsidR="006012FE" w:rsidRDefault="007619F7">
      <w:pPr>
        <w:spacing w:after="240" w:line="336" w:lineRule="auto"/>
      </w:pPr>
      <w:r>
        <w:rPr>
          <w:rFonts w:ascii="Arimo Bold" w:eastAsia="Arimo Bold" w:hAnsi="Arimo Bold" w:cs="Arimo Bold"/>
          <w:b/>
          <w:bCs/>
          <w:color w:val="000000"/>
          <w:sz w:val="24"/>
          <w:szCs w:val="24"/>
        </w:rPr>
        <w:t xml:space="preserve">3.8 First Recorded Visit Results </w:t>
      </w:r>
    </w:p>
    <w:p w:rsidR="006012FE" w:rsidRDefault="007619F7">
      <w:pPr>
        <w:spacing w:after="240" w:line="336" w:lineRule="auto"/>
      </w:pPr>
      <w:r>
        <w:rPr>
          <w:rFonts w:ascii="Arimo" w:eastAsia="Arimo" w:hAnsi="Arimo" w:cs="Arimo"/>
          <w:color w:val="000000"/>
          <w:sz w:val="24"/>
          <w:szCs w:val="24"/>
        </w:rPr>
        <w:t xml:space="preserve">First-record eligibility yielded 6,567 labelled low-bone-mass records with 615 positives and 5,809 prostate records with 595 positives. Native-boosting pooled person-grouped AUROCs were 0.840 and 0.869; mean screening-group AUROCs were 0.795 and 0.748 (Table 11). The latter evaluations retained eight and four groups, compared with 12 and 10 in the full cohort. Pooled group-held-out calibration slopes were 0.962 and 0.826; intercepts were 0.185 and 0.413, so preserved discrimination did not establish well-calibrated probabilities. </w:t>
      </w:r>
    </w:p>
    <w:p w:rsidR="006012FE" w:rsidRDefault="007619F7">
      <w:pPr>
        <w:spacing w:after="240" w:line="336" w:lineRule="auto"/>
      </w:pPr>
      <w:r>
        <w:rPr>
          <w:rFonts w:ascii="Arimo" w:eastAsia="Arimo" w:hAnsi="Arimo" w:cs="Arimo"/>
          <w:color w:val="000000"/>
          <w:sz w:val="24"/>
          <w:szCs w:val="24"/>
        </w:rPr>
        <w:lastRenderedPageBreak/>
        <w:t xml:space="preserve">On groups evaluable in both cohorts, native-boosting mean AUROC changed from 0.763 to 0.795 for low bone mass and from 0.795 to 0.748 for prostate echotexture. These differences combine changed training samples, outcome prevalence, and first-record case mix; they do not isolate repeat-attendance bias. The 49-predictor imputed candidates yielded first-record group AUROCs of 0.758 and 0.756, with pooled calibration slopes of 0.987 and 0.867. Full results and same-environment comparators are in Additional file 2. </w:t>
      </w:r>
    </w:p>
    <w:p w:rsidR="006012FE" w:rsidRDefault="007619F7">
      <w:pPr>
        <w:spacing w:after="240" w:line="336" w:lineRule="auto"/>
      </w:pPr>
      <w:r>
        <w:rPr>
          <w:rFonts w:ascii="Arimo Bold" w:eastAsia="Arimo Bold" w:hAnsi="Arimo Bold" w:cs="Arimo Bold"/>
          <w:b/>
          <w:bCs/>
          <w:color w:val="000000"/>
          <w:sz w:val="24"/>
          <w:szCs w:val="24"/>
        </w:rPr>
        <w:t>Table 11. First recorded visit sensitivity results</w:t>
      </w:r>
      <w:r>
        <w:rPr>
          <w:rFonts w:ascii="Arimo" w:eastAsia="Arimo" w:hAnsi="Arimo" w:cs="Arimo"/>
          <w:color w:val="000000"/>
          <w:sz w:val="24"/>
          <w:szCs w:val="24"/>
        </w:rPr>
        <w:t xml:space="preserve">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1614"/>
        <w:gridCol w:w="1499"/>
        <w:gridCol w:w="1475"/>
        <w:gridCol w:w="1455"/>
        <w:gridCol w:w="1480"/>
        <w:gridCol w:w="1507"/>
      </w:tblGrid>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Outcome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Design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N / positive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Folds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AUROC (95% interval)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Calibration intercept / slope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Low bone mass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Person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6,567 / 615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0.840 (0.826–0.854)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−0.064 / 0.841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Low bone mass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Screening group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4,173 / 343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8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0.795 (0.769–0.819)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0.185 / 0.962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Person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5,809 / 595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0.869 (0.854–0.882)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−0.014 / 0.838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Screening group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1,816 / 246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4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0.748 (0.696–0.799)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0.413 / 0.826 </w:t>
            </w:r>
          </w:p>
        </w:tc>
      </w:tr>
    </w:tbl>
    <w:p w:rsidR="006012FE" w:rsidRPr="00681452" w:rsidRDefault="007619F7">
      <w:pPr>
        <w:spacing w:after="240" w:line="336" w:lineRule="auto"/>
        <w:rPr>
          <w:sz w:val="18"/>
          <w:szCs w:val="18"/>
        </w:rPr>
      </w:pPr>
      <w:r w:rsidRPr="00681452">
        <w:rPr>
          <w:rFonts w:ascii="Arimo Italics" w:eastAsia="Arimo Italics" w:hAnsi="Arimo Italics" w:cs="Arimo Italics"/>
          <w:i/>
          <w:iCs/>
          <w:color w:val="000000"/>
          <w:sz w:val="20"/>
          <w:szCs w:val="20"/>
        </w:rPr>
        <w:t>Native boosting with 50 predictors. Person results report pooled AUROC; screening-group results report equal-weight mean AUROC. All calibration estimates pool held-out predictions. Intervals condition on fixed predictions and, for group evaluation, the observed groups. They are not paired effect estimates.</w:t>
      </w:r>
      <w:r w:rsidRPr="00681452">
        <w:rPr>
          <w:rFonts w:ascii="Arimo" w:eastAsia="Arimo" w:hAnsi="Arimo" w:cs="Arimo"/>
          <w:color w:val="000000"/>
          <w:sz w:val="20"/>
          <w:szCs w:val="20"/>
        </w:rPr>
        <w:t xml:space="preserve"> </w:t>
      </w:r>
    </w:p>
    <w:p w:rsidR="006012FE" w:rsidRDefault="007619F7">
      <w:pPr>
        <w:spacing w:after="240" w:line="336" w:lineRule="auto"/>
      </w:pPr>
      <w:r>
        <w:rPr>
          <w:rFonts w:ascii="Arimo" w:eastAsia="Arimo" w:hAnsi="Arimo" w:cs="Arimo"/>
          <w:color w:val="000000"/>
          <w:sz w:val="24"/>
          <w:szCs w:val="24"/>
        </w:rPr>
        <w:lastRenderedPageBreak/>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4. Discussion </w:t>
            </w:r>
          </w:p>
        </w:tc>
      </w:tr>
    </w:tbl>
    <w:p w:rsidR="006012FE" w:rsidRDefault="007619F7">
      <w:pPr>
        <w:spacing w:after="240" w:line="336" w:lineRule="auto"/>
      </w:pPr>
      <w:r>
        <w:rPr>
          <w:rFonts w:ascii="Arimo" w:eastAsia="Arimo" w:hAnsi="Arimo" w:cs="Arimo"/>
          <w:color w:val="000000"/>
          <w:sz w:val="24"/>
          <w:szCs w:val="24"/>
        </w:rPr>
        <w:t xml:space="preserve">This section interprets the findings in light of the study's central question: whether routinely collected measurements can identify attendees more likely to have a recorded finding in an additional module, and whether that signal persists across screening groups and time. We first </w:t>
      </w:r>
      <w:proofErr w:type="spellStart"/>
      <w:r>
        <w:rPr>
          <w:rFonts w:ascii="Arimo" w:eastAsia="Arimo" w:hAnsi="Arimo" w:cs="Arimo"/>
          <w:color w:val="000000"/>
          <w:sz w:val="24"/>
          <w:szCs w:val="24"/>
        </w:rPr>
        <w:t>summarise</w:t>
      </w:r>
      <w:proofErr w:type="spellEnd"/>
      <w:r>
        <w:rPr>
          <w:rFonts w:ascii="Arimo" w:eastAsia="Arimo" w:hAnsi="Arimo" w:cs="Arimo"/>
          <w:color w:val="000000"/>
          <w:sz w:val="24"/>
          <w:szCs w:val="24"/>
        </w:rPr>
        <w:t xml:space="preserve"> the principal findings (4.1) and relate them to previous work (4.2). We then discuss group heterogeneity (4.3), the clinical meaning of the two leading endpoints (4.4), and implications for further evaluation (4.5), before outlining the strengths and limitations of the study (4.6).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4.1 Principal Findings </w:t>
            </w:r>
          </w:p>
        </w:tc>
      </w:tr>
    </w:tbl>
    <w:p w:rsidR="006012FE" w:rsidRDefault="007619F7">
      <w:pPr>
        <w:spacing w:after="240" w:line="336" w:lineRule="auto"/>
      </w:pPr>
      <w:r>
        <w:rPr>
          <w:rFonts w:ascii="Arimo" w:eastAsia="Arimo" w:hAnsi="Arimo" w:cs="Arimo"/>
          <w:color w:val="000000"/>
          <w:sz w:val="24"/>
          <w:szCs w:val="24"/>
        </w:rPr>
        <w:t xml:space="preserve">Three findings are most consequential. First, predictive signal was endpoint-specific: recorded low bone mass and heterogeneous prostate echotexture showed the strongest within-group discrimination, whereas several other targets remained only weakly predictable. Second, most of the incremental signal for the two leading endpoints entered with the chemistry block, and adding </w:t>
      </w:r>
      <w:proofErr w:type="spellStart"/>
      <w:r>
        <w:rPr>
          <w:rFonts w:ascii="Arimo" w:eastAsia="Arimo" w:hAnsi="Arimo" w:cs="Arimo"/>
          <w:color w:val="000000"/>
          <w:sz w:val="24"/>
          <w:szCs w:val="24"/>
        </w:rPr>
        <w:t>haematology</w:t>
      </w:r>
      <w:proofErr w:type="spellEnd"/>
      <w:r>
        <w:rPr>
          <w:rFonts w:ascii="Arimo" w:eastAsia="Arimo" w:hAnsi="Arimo" w:cs="Arimo"/>
          <w:color w:val="000000"/>
          <w:sz w:val="24"/>
          <w:szCs w:val="24"/>
        </w:rPr>
        <w:t xml:space="preserve"> changed mean AUROC little. Third, model complexity was not uniformly valuable: boosting improved low-bone-mass discrimination over logistic regression, but prostate performance was essentially identical. Together, these results argue for endpoint-specific model and feature selection rather than a single machine-learning solution applied across screening modules. </w:t>
      </w:r>
    </w:p>
    <w:p w:rsidR="006012FE" w:rsidRDefault="007619F7">
      <w:pPr>
        <w:spacing w:after="240" w:line="336" w:lineRule="auto"/>
      </w:pPr>
      <w:r>
        <w:rPr>
          <w:rFonts w:ascii="Arimo" w:eastAsia="Arimo" w:hAnsi="Arimo" w:cs="Arimo"/>
          <w:color w:val="000000"/>
          <w:sz w:val="24"/>
          <w:szCs w:val="24"/>
        </w:rPr>
        <w:t xml:space="preserve">The more important constraint emerged from transportability. Performance fell when models were evaluated across time, and the nephrolithiasis example showed that a high pooled AUROC can coexist with much weaker ranking within individual screening groups. For implementation, this means that aggregate discrimination can overstate usefulness in the local group where a referral decision is actually made. A model that appears acceptable in a mixed retrospective sample may therefore require group-specific evaluation, recalibration, or redevelopment before use in a later </w:t>
      </w:r>
      <w:proofErr w:type="spellStart"/>
      <w:r>
        <w:rPr>
          <w:rFonts w:ascii="Arimo" w:eastAsia="Arimo" w:hAnsi="Arimo" w:cs="Arimo"/>
          <w:color w:val="000000"/>
          <w:sz w:val="24"/>
          <w:szCs w:val="24"/>
        </w:rPr>
        <w:t>programme</w:t>
      </w:r>
      <w:proofErr w:type="spellEnd"/>
      <w:r>
        <w:rPr>
          <w:rFonts w:ascii="Arimo" w:eastAsia="Arimo" w:hAnsi="Arimo" w:cs="Arimo"/>
          <w:color w:val="000000"/>
          <w:sz w:val="24"/>
          <w:szCs w:val="24"/>
        </w:rPr>
        <w:t xml:space="preserve"> period.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lastRenderedPageBreak/>
              <w:t xml:space="preserve">4.2 Relationship to Previous Work </w:t>
            </w:r>
          </w:p>
        </w:tc>
      </w:tr>
    </w:tbl>
    <w:p w:rsidR="006012FE" w:rsidRDefault="007619F7">
      <w:pPr>
        <w:spacing w:after="240" w:line="336" w:lineRule="auto"/>
      </w:pPr>
      <w:r>
        <w:rPr>
          <w:rFonts w:ascii="Arimo" w:eastAsia="Arimo" w:hAnsi="Arimo" w:cs="Arimo"/>
          <w:color w:val="000000"/>
          <w:sz w:val="24"/>
          <w:szCs w:val="24"/>
        </w:rPr>
        <w:t xml:space="preserve">Earlier studies have shown that routine blood tests or health-examination data can predict bone-density outcomes, and one health-examination study reported strong discrimination for ultrasound-defined carotid plaque [1–3]. Our results extend that literature in a different direction: the main contribution is not a higher headline AUROC, but evidence that apparent performance depends strongly on the evaluation population and target definition. Random train–test splits used in some prior work answer a different question from holding out screening groups or later </w:t>
      </w:r>
      <w:proofErr w:type="spellStart"/>
      <w:r>
        <w:rPr>
          <w:rFonts w:ascii="Arimo" w:eastAsia="Arimo" w:hAnsi="Arimo" w:cs="Arimo"/>
          <w:color w:val="000000"/>
          <w:sz w:val="24"/>
          <w:szCs w:val="24"/>
        </w:rPr>
        <w:t>programme</w:t>
      </w:r>
      <w:proofErr w:type="spellEnd"/>
      <w:r>
        <w:rPr>
          <w:rFonts w:ascii="Arimo" w:eastAsia="Arimo" w:hAnsi="Arimo" w:cs="Arimo"/>
          <w:color w:val="000000"/>
          <w:sz w:val="24"/>
          <w:szCs w:val="24"/>
        </w:rPr>
        <w:t xml:space="preserve"> periods, so numerical AUROCs are not directly interchangeable. The present results therefore strengthen the case for transportability-focused validation when prediction models are intended to guide screening decisions. </w:t>
      </w:r>
    </w:p>
    <w:p w:rsidR="006012FE" w:rsidRDefault="007619F7">
      <w:pPr>
        <w:spacing w:after="240" w:line="336" w:lineRule="auto"/>
      </w:pPr>
      <w:r>
        <w:rPr>
          <w:rFonts w:ascii="Arimo" w:eastAsia="Arimo" w:hAnsi="Arimo" w:cs="Arimo"/>
          <w:color w:val="000000"/>
          <w:sz w:val="24"/>
          <w:szCs w:val="24"/>
        </w:rPr>
        <w:t xml:space="preserve">This interpretation is consistent with internal–external validation principles [4] and with the emphasis on calibration when predicted probabilities may drive threshold-based decisions [5]. In this dataset, temporal calibration slopes deteriorated alongside discrimination, indicating that both ranking and probability estimates changed over time. The practical consequence is that a stable threshold cannot be assumed simply because development-period discrimination was acceptable.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4.3 Interpreting Group Heterogeneity </w:t>
            </w:r>
          </w:p>
        </w:tc>
      </w:tr>
    </w:tbl>
    <w:p w:rsidR="006012FE" w:rsidRDefault="007619F7">
      <w:pPr>
        <w:spacing w:after="240" w:line="336" w:lineRule="auto"/>
      </w:pPr>
      <w:r>
        <w:rPr>
          <w:rFonts w:ascii="Arimo" w:eastAsia="Arimo" w:hAnsi="Arimo" w:cs="Arimo"/>
          <w:color w:val="000000"/>
          <w:sz w:val="24"/>
          <w:szCs w:val="24"/>
        </w:rPr>
        <w:t xml:space="preserve">Nephrolithiasis provides the clearest example of why pooled and within-group performance answer different questions. Its pooled group-held-out AUROC was 0.770, but the mean within-group AUROC was 0.649. Pooled AUROC benefits from comparisons between people in different groups, whereas a screening decision is usually made among people within the same operational setting. Differences in case mix, prevalence, predictor distributions, and reporting practice can all contribute [8]. For model assessment, the within-group estimate is therefore the more relevant warning signal when deployment is expected to occur inside heterogeneous employer or role groups. </w:t>
      </w:r>
    </w:p>
    <w:p w:rsidR="006012FE" w:rsidRDefault="007619F7">
      <w:pPr>
        <w:spacing w:after="240" w:line="336" w:lineRule="auto"/>
      </w:pPr>
      <w:r>
        <w:rPr>
          <w:rFonts w:ascii="Arimo" w:eastAsia="Arimo" w:hAnsi="Arimo" w:cs="Arimo"/>
          <w:color w:val="000000"/>
          <w:sz w:val="24"/>
          <w:szCs w:val="24"/>
        </w:rPr>
        <w:t xml:space="preserve">Selective module availability adds a second implementation problem. People with an observed outcome were not a random sample of all attendees: testing could reflect contracts, clinician decisions, individual risk, and workforce composition. The model </w:t>
      </w:r>
      <w:r>
        <w:rPr>
          <w:rFonts w:ascii="Arimo" w:eastAsia="Arimo" w:hAnsi="Arimo" w:cs="Arimo"/>
          <w:color w:val="000000"/>
          <w:sz w:val="24"/>
          <w:szCs w:val="24"/>
        </w:rPr>
        <w:lastRenderedPageBreak/>
        <w:t xml:space="preserve">therefore estimates risk among visits with usable recorded labels, not necessarily among people who would be newly spared or referred for testing. This is a form of verification-selection concern [14] and is central to the practical relevance of the study: before model-guided allocation can be judged, the target population and reference-testing process must be made explicit. </w:t>
      </w:r>
    </w:p>
    <w:p w:rsidR="006012FE" w:rsidRDefault="007619F7">
      <w:pPr>
        <w:spacing w:after="240" w:line="336" w:lineRule="auto"/>
      </w:pPr>
      <w:r>
        <w:rPr>
          <w:rFonts w:ascii="Arimo" w:eastAsia="Arimo" w:hAnsi="Arimo" w:cs="Arimo"/>
          <w:color w:val="000000"/>
          <w:sz w:val="24"/>
          <w:szCs w:val="24"/>
        </w:rPr>
        <w:t xml:space="preserve">Missing predictors may also encode workflow. Laboratory </w:t>
      </w:r>
      <w:proofErr w:type="spellStart"/>
      <w:r>
        <w:rPr>
          <w:rFonts w:ascii="Arimo" w:eastAsia="Arimo" w:hAnsi="Arimo" w:cs="Arimo"/>
          <w:color w:val="000000"/>
          <w:sz w:val="24"/>
          <w:szCs w:val="24"/>
        </w:rPr>
        <w:t>missingness</w:t>
      </w:r>
      <w:proofErr w:type="spellEnd"/>
      <w:r>
        <w:rPr>
          <w:rFonts w:ascii="Arimo" w:eastAsia="Arimo" w:hAnsi="Arimo" w:cs="Arimo"/>
          <w:color w:val="000000"/>
          <w:sz w:val="24"/>
          <w:szCs w:val="24"/>
        </w:rPr>
        <w:t xml:space="preserve"> can reflect clinical and operational processes rather than physiology alone [15], and the sensitivity analyses here cannot separate those mechanisms. A deployment study should therefore monitor not only AUROC and calibration but also whether predictor availability and ordering practice have changed since development.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4.4 Clinical Interpretation of the Endpoints </w:t>
            </w:r>
          </w:p>
        </w:tc>
      </w:tr>
    </w:tbl>
    <w:p w:rsidR="006012FE" w:rsidRDefault="007619F7">
      <w:pPr>
        <w:spacing w:after="240" w:line="336" w:lineRule="auto"/>
      </w:pPr>
      <w:r>
        <w:rPr>
          <w:rFonts w:ascii="Arimo" w:eastAsia="Arimo" w:hAnsi="Arimo" w:cs="Arimo"/>
          <w:color w:val="000000"/>
          <w:sz w:val="24"/>
          <w:szCs w:val="24"/>
        </w:rPr>
        <w:t xml:space="preserve">The two leading endpoints also differ in clinical meaning. For low bone mass, the cohort was relatively young, and the exported osteopenia/osteoporosis categories were not independently adjudicated. ISCD guidance gives greater weight to Z-scores in premenopausal women and in men younger than 50 years, and it does not diagnose osteoporosis in men below 50 on BMD alone [16]. The paired audit showed agreement when BMD- and T-score-filed categories were both present, but large differences in category availability. The immediate implication is that future work should verify the source report, numeric BMD and T- or Z-scores, age and sex context, and menopausal status before treating the label as a clinical endpoint. </w:t>
      </w:r>
    </w:p>
    <w:p w:rsidR="006012FE" w:rsidRDefault="007619F7">
      <w:pPr>
        <w:spacing w:after="240" w:line="336" w:lineRule="auto"/>
      </w:pPr>
      <w:r>
        <w:rPr>
          <w:rFonts w:ascii="Arimo" w:eastAsia="Arimo" w:hAnsi="Arimo" w:cs="Arimo"/>
          <w:color w:val="000000"/>
          <w:sz w:val="24"/>
          <w:szCs w:val="24"/>
        </w:rPr>
        <w:t xml:space="preserve">Heterogeneous prostate echotexture is similarly an imaging descriptor rather than a diagnosis of cancer or another consequential disease state. Its relatively high AUROC is therefore best interpreted as evidence that routine measurements correlate with this recorded imaging pattern. Whether that correlation is useful depends on a downstream decision that this dataset does not define. Endpoint adjudication and specification of the action triggered by a positive score should precede any threshold </w:t>
      </w:r>
      <w:proofErr w:type="spellStart"/>
      <w:r>
        <w:rPr>
          <w:rFonts w:ascii="Arimo" w:eastAsia="Arimo" w:hAnsi="Arimo" w:cs="Arimo"/>
          <w:color w:val="000000"/>
          <w:sz w:val="24"/>
          <w:szCs w:val="24"/>
        </w:rPr>
        <w:t>optimisation</w:t>
      </w:r>
      <w:proofErr w:type="spellEnd"/>
      <w:r>
        <w:rPr>
          <w:rFonts w:ascii="Arimo" w:eastAsia="Arimo" w:hAnsi="Arimo" w:cs="Arimo"/>
          <w:color w:val="000000"/>
          <w:sz w:val="24"/>
          <w:szCs w:val="24"/>
        </w:rPr>
        <w:t xml:space="preserve">.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lastRenderedPageBreak/>
              <w:t xml:space="preserve">4.5 Implications for Further Evaluation </w:t>
            </w:r>
          </w:p>
        </w:tc>
      </w:tr>
    </w:tbl>
    <w:p w:rsidR="006012FE" w:rsidRDefault="007619F7">
      <w:pPr>
        <w:spacing w:after="240" w:line="336" w:lineRule="auto"/>
      </w:pPr>
      <w:r>
        <w:rPr>
          <w:rFonts w:ascii="Arimo" w:eastAsia="Arimo" w:hAnsi="Arimo" w:cs="Arimo"/>
          <w:color w:val="000000"/>
          <w:sz w:val="24"/>
          <w:szCs w:val="24"/>
        </w:rPr>
        <w:t xml:space="preserve">The candidate thresholds illustrate both potential and risk. Median estimates suggested that roughly one quarter of densitometry or prostate-ultrasound examinations could fall below a common cutoff, but sensitivity varied substantially across groups. That spread matters more than the median: a referral rule acceptable in one group could miss an unacceptable fraction of findings in another. The next evaluation should therefore freeze thresholds using development or calibration data and report group-specific sensitivity, missed findings, and workload change in a separate sample. </w:t>
      </w:r>
    </w:p>
    <w:p w:rsidR="006012FE" w:rsidRDefault="007619F7">
      <w:pPr>
        <w:spacing w:after="240" w:line="336" w:lineRule="auto"/>
      </w:pPr>
      <w:r>
        <w:rPr>
          <w:rFonts w:ascii="Arimo" w:eastAsia="Arimo" w:hAnsi="Arimo" w:cs="Arimo"/>
          <w:color w:val="000000"/>
          <w:sz w:val="24"/>
          <w:szCs w:val="24"/>
        </w:rPr>
        <w:t xml:space="preserve">A practical next step is a prospective silent study in which the model runs without changing care. Such a study could verify predictor timing, label availability, calibration, and subgroup stability under current workflow. Only after those checks should a referral intervention be tested, using an adjudicated clinically relevant endpoint, a </w:t>
      </w:r>
      <w:proofErr w:type="spellStart"/>
      <w:r>
        <w:rPr>
          <w:rFonts w:ascii="Arimo" w:eastAsia="Arimo" w:hAnsi="Arimo" w:cs="Arimo"/>
          <w:color w:val="000000"/>
          <w:sz w:val="24"/>
          <w:szCs w:val="24"/>
        </w:rPr>
        <w:t>prespecified</w:t>
      </w:r>
      <w:proofErr w:type="spellEnd"/>
      <w:r>
        <w:rPr>
          <w:rFonts w:ascii="Arimo" w:eastAsia="Arimo" w:hAnsi="Arimo" w:cs="Arimo"/>
          <w:color w:val="000000"/>
          <w:sz w:val="24"/>
          <w:szCs w:val="24"/>
        </w:rPr>
        <w:t xml:space="preserve"> minimum sensitivity, explicit handling of symptom- or clinician-indicated testing, and measurement of actual resource use and missed findings. DECIDE-AI provides a relevant framework for reporting an early clinical evaluation [17]. This sequence turns the present retrospective results into a concrete development path rather than a claim of immediate deployment readiness.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4.6 Strengths and Limitations </w:t>
            </w:r>
          </w:p>
        </w:tc>
      </w:tr>
    </w:tbl>
    <w:p w:rsidR="006012FE" w:rsidRDefault="007619F7">
      <w:pPr>
        <w:spacing w:after="240" w:line="336" w:lineRule="auto"/>
      </w:pPr>
      <w:r>
        <w:rPr>
          <w:rFonts w:ascii="Arimo" w:eastAsia="Arimo" w:hAnsi="Arimo" w:cs="Arimo"/>
          <w:color w:val="000000"/>
          <w:sz w:val="24"/>
          <w:szCs w:val="24"/>
        </w:rPr>
        <w:t xml:space="preserve">The study's main strengths are the multi-year dataset, a common modelling framework across 12 endpoints, explicit handling of repeat attendance and unrecorded modules, and evaluation designs that expose weaker performance rather than reporting only a </w:t>
      </w:r>
      <w:proofErr w:type="spellStart"/>
      <w:r>
        <w:rPr>
          <w:rFonts w:ascii="Arimo" w:eastAsia="Arimo" w:hAnsi="Arimo" w:cs="Arimo"/>
          <w:color w:val="000000"/>
          <w:sz w:val="24"/>
          <w:szCs w:val="24"/>
        </w:rPr>
        <w:t>favourable</w:t>
      </w:r>
      <w:proofErr w:type="spellEnd"/>
      <w:r>
        <w:rPr>
          <w:rFonts w:ascii="Arimo" w:eastAsia="Arimo" w:hAnsi="Arimo" w:cs="Arimo"/>
          <w:color w:val="000000"/>
          <w:sz w:val="24"/>
          <w:szCs w:val="24"/>
        </w:rPr>
        <w:t xml:space="preserve"> random split. The paired category audit and conditional resampling analyses further clarify two important sources of uncertainty: how reference categories were recorded and how precisely model differences were estimated in the observed evaluation sample. </w:t>
      </w:r>
    </w:p>
    <w:p w:rsidR="006012FE" w:rsidRDefault="007619F7">
      <w:pPr>
        <w:spacing w:after="240" w:line="336" w:lineRule="auto"/>
      </w:pPr>
      <w:r>
        <w:rPr>
          <w:rFonts w:ascii="Arimo" w:eastAsia="Arimo" w:hAnsi="Arimo" w:cs="Arimo"/>
          <w:color w:val="000000"/>
          <w:sz w:val="24"/>
          <w:szCs w:val="24"/>
        </w:rPr>
        <w:t xml:space="preserve">The most important limitations concern who and what were actually evaluated. Reconstructed birth-date-and-sex identities may merge different people or split repeat records, and the 111 repeated identity–date groups do not quantify total linkage error. Outcomes were observed selectively among attendees with recorded </w:t>
      </w:r>
      <w:r>
        <w:rPr>
          <w:rFonts w:ascii="Arimo" w:eastAsia="Arimo" w:hAnsi="Arimo" w:cs="Arimo"/>
          <w:color w:val="000000"/>
          <w:sz w:val="24"/>
          <w:szCs w:val="24"/>
        </w:rPr>
        <w:lastRenderedPageBreak/>
        <w:t xml:space="preserve">module findings, so performance in labelled visits may not </w:t>
      </w:r>
      <w:proofErr w:type="spellStart"/>
      <w:r>
        <w:rPr>
          <w:rFonts w:ascii="Arimo" w:eastAsia="Arimo" w:hAnsi="Arimo" w:cs="Arimo"/>
          <w:color w:val="000000"/>
          <w:sz w:val="24"/>
          <w:szCs w:val="24"/>
        </w:rPr>
        <w:t>generalise</w:t>
      </w:r>
      <w:proofErr w:type="spellEnd"/>
      <w:r>
        <w:rPr>
          <w:rFonts w:ascii="Arimo" w:eastAsia="Arimo" w:hAnsi="Arimo" w:cs="Arimo"/>
          <w:color w:val="000000"/>
          <w:sz w:val="24"/>
          <w:szCs w:val="24"/>
        </w:rPr>
        <w:t xml:space="preserve"> to people currently untested. Restriction to first recorded visits addresses repeated weighting but retains quasi-identifier errors and may select different calendar periods and screening groups; it does not recover true-person independence. </w:t>
      </w:r>
    </w:p>
    <w:p w:rsidR="006012FE" w:rsidRDefault="007619F7">
      <w:pPr>
        <w:spacing w:after="240" w:line="336" w:lineRule="auto"/>
      </w:pPr>
      <w:r>
        <w:rPr>
          <w:rFonts w:ascii="Arimo" w:eastAsia="Arimo" w:hAnsi="Arimo" w:cs="Arimo"/>
          <w:color w:val="000000"/>
          <w:sz w:val="24"/>
          <w:szCs w:val="24"/>
        </w:rPr>
        <w:t xml:space="preserve">Outcome definitions were derived from source categories rather than independent adjudication, with incomplete coding dictionaries and variable denominators. Some </w:t>
      </w:r>
      <w:proofErr w:type="spellStart"/>
      <w:r>
        <w:rPr>
          <w:rFonts w:ascii="Arimo" w:eastAsia="Arimo" w:hAnsi="Arimo" w:cs="Arimo"/>
          <w:color w:val="000000"/>
          <w:sz w:val="24"/>
          <w:szCs w:val="24"/>
        </w:rPr>
        <w:t>unrecognised</w:t>
      </w:r>
      <w:proofErr w:type="spellEnd"/>
      <w:r>
        <w:rPr>
          <w:rFonts w:ascii="Arimo" w:eastAsia="Arimo" w:hAnsi="Arimo" w:cs="Arimo"/>
          <w:color w:val="000000"/>
          <w:sz w:val="24"/>
          <w:szCs w:val="24"/>
        </w:rPr>
        <w:t xml:space="preserve"> values could be classified as negative, and several endpoints still require clinical review. In addition, all data came from one </w:t>
      </w:r>
      <w:proofErr w:type="spellStart"/>
      <w:r>
        <w:rPr>
          <w:rFonts w:ascii="Arimo" w:eastAsia="Arimo" w:hAnsi="Arimo" w:cs="Arimo"/>
          <w:color w:val="000000"/>
          <w:sz w:val="24"/>
          <w:szCs w:val="24"/>
        </w:rPr>
        <w:t>programme</w:t>
      </w:r>
      <w:proofErr w:type="spellEnd"/>
      <w:r>
        <w:rPr>
          <w:rFonts w:ascii="Arimo" w:eastAsia="Arimo" w:hAnsi="Arimo" w:cs="Arimo"/>
          <w:color w:val="000000"/>
          <w:sz w:val="24"/>
          <w:szCs w:val="24"/>
        </w:rPr>
        <w:t xml:space="preserve">, at a single screening </w:t>
      </w:r>
      <w:proofErr w:type="spellStart"/>
      <w:r>
        <w:rPr>
          <w:rFonts w:ascii="Arimo" w:eastAsia="Arimo" w:hAnsi="Arimo" w:cs="Arimo"/>
          <w:color w:val="000000"/>
          <w:sz w:val="24"/>
          <w:szCs w:val="24"/>
        </w:rPr>
        <w:t>centre</w:t>
      </w:r>
      <w:proofErr w:type="spellEnd"/>
      <w:r>
        <w:rPr>
          <w:rFonts w:ascii="Arimo" w:eastAsia="Arimo" w:hAnsi="Arimo" w:cs="Arimo"/>
          <w:color w:val="000000"/>
          <w:sz w:val="24"/>
          <w:szCs w:val="24"/>
        </w:rPr>
        <w:t xml:space="preserve">, with incomplete information on assay, operator, and exact timing. The temporal design also excluded returning identities from training, so it captures a combined population-and-period shift rather than pure calendar-time drift. Because attendees were referred by their employing </w:t>
      </w:r>
      <w:proofErr w:type="spellStart"/>
      <w:r>
        <w:rPr>
          <w:rFonts w:ascii="Arimo" w:eastAsia="Arimo" w:hAnsi="Arimo" w:cs="Arimo"/>
          <w:color w:val="000000"/>
          <w:sz w:val="24"/>
          <w:szCs w:val="24"/>
        </w:rPr>
        <w:t>organisations</w:t>
      </w:r>
      <w:proofErr w:type="spellEnd"/>
      <w:r>
        <w:rPr>
          <w:rFonts w:ascii="Arimo" w:eastAsia="Arimo" w:hAnsi="Arimo" w:cs="Arimo"/>
          <w:color w:val="000000"/>
          <w:sz w:val="24"/>
          <w:szCs w:val="24"/>
        </w:rPr>
        <w:t xml:space="preserve">, the cohort consists of working-age employed people, and a healthy worker effect may limit </w:t>
      </w:r>
      <w:proofErr w:type="spellStart"/>
      <w:r>
        <w:rPr>
          <w:rFonts w:ascii="Arimo" w:eastAsia="Arimo" w:hAnsi="Arimo" w:cs="Arimo"/>
          <w:color w:val="000000"/>
          <w:sz w:val="24"/>
          <w:szCs w:val="24"/>
        </w:rPr>
        <w:t>generalisability</w:t>
      </w:r>
      <w:proofErr w:type="spellEnd"/>
      <w:r>
        <w:rPr>
          <w:rFonts w:ascii="Arimo" w:eastAsia="Arimo" w:hAnsi="Arimo" w:cs="Arimo"/>
          <w:color w:val="000000"/>
          <w:sz w:val="24"/>
          <w:szCs w:val="24"/>
        </w:rPr>
        <w:t xml:space="preserve"> to the wider population. </w:t>
      </w:r>
    </w:p>
    <w:p w:rsidR="006012FE" w:rsidRDefault="007619F7">
      <w:pPr>
        <w:spacing w:after="240" w:line="336" w:lineRule="auto"/>
      </w:pPr>
      <w:r>
        <w:rPr>
          <w:rFonts w:ascii="Arimo" w:eastAsia="Arimo" w:hAnsi="Arimo" w:cs="Arimo"/>
          <w:color w:val="000000"/>
          <w:sz w:val="24"/>
          <w:szCs w:val="24"/>
        </w:rPr>
        <w:t xml:space="preserve">Analytically, the 50-predictor models retained the unresolved VT D3 field, while the 49-predictor candidate models were chosen after review of retrospective results. The new bootstrap intervals condition on fixed predictions and observed groups; they do not include model refitting or uncertainty across future </w:t>
      </w:r>
      <w:proofErr w:type="spellStart"/>
      <w:r>
        <w:rPr>
          <w:rFonts w:ascii="Arimo" w:eastAsia="Arimo" w:hAnsi="Arimo" w:cs="Arimo"/>
          <w:color w:val="000000"/>
          <w:sz w:val="24"/>
          <w:szCs w:val="24"/>
        </w:rPr>
        <w:t>organisations</w:t>
      </w:r>
      <w:proofErr w:type="spellEnd"/>
      <w:r>
        <w:rPr>
          <w:rFonts w:ascii="Arimo" w:eastAsia="Arimo" w:hAnsi="Arimo" w:cs="Arimo"/>
          <w:color w:val="000000"/>
          <w:sz w:val="24"/>
          <w:szCs w:val="24"/>
        </w:rPr>
        <w:t xml:space="preserve">. Sparse endpoints had few eligible groups, subgroup comparisons lacked uncertainty estimates, and imputation cannot guarantee removal of information carried by </w:t>
      </w:r>
      <w:proofErr w:type="spellStart"/>
      <w:r>
        <w:rPr>
          <w:rFonts w:ascii="Arimo" w:eastAsia="Arimo" w:hAnsi="Arimo" w:cs="Arimo"/>
          <w:color w:val="000000"/>
          <w:sz w:val="24"/>
          <w:szCs w:val="24"/>
        </w:rPr>
        <w:t>missingness</w:t>
      </w:r>
      <w:proofErr w:type="spellEnd"/>
      <w:r>
        <w:rPr>
          <w:rFonts w:ascii="Arimo" w:eastAsia="Arimo" w:hAnsi="Arimo" w:cs="Arimo"/>
          <w:color w:val="000000"/>
          <w:sz w:val="24"/>
          <w:szCs w:val="24"/>
        </w:rPr>
        <w:t xml:space="preserve"> patterns. The VT D3 audit supports an operational-confounding explanation but cannot identify the cause. The first-record refits preserved useful ranking for some comparisons while showing deterioration in prostate group-level performance and residual calibration error. Refit results differ slightly from historical saved scores and are reported separately. </w:t>
      </w:r>
    </w:p>
    <w:p w:rsidR="006012FE" w:rsidRDefault="007619F7">
      <w:pPr>
        <w:spacing w:after="240" w:line="336" w:lineRule="auto"/>
      </w:pPr>
      <w:r>
        <w:rPr>
          <w:rFonts w:ascii="Arimo" w:eastAsia="Arimo" w:hAnsi="Arimo" w:cs="Arimo"/>
          <w:color w:val="000000"/>
          <w:sz w:val="24"/>
          <w:szCs w:val="24"/>
        </w:rPr>
        <w:t xml:space="preserve">Finally, the study did not measure downstream clinical outcomes, costs, or harms, and no prospective sample-size calculation or registered analysis protocol was available. These limitations constrain claims about intervention benefit more than they constrain the descriptive finding that transportability varies substantially by endpoint, group, and time. Future studies should address these issues within the participant, predictor, outcome, and analysis domains of PROBAST+AI [18]. The evidence-based PROBAST+AI self-assessment rated the overall risk of bias for intended clinical triage as high, principally because of selective labels, uncertain </w:t>
      </w:r>
      <w:r>
        <w:rPr>
          <w:rFonts w:ascii="Arimo" w:eastAsia="Arimo" w:hAnsi="Arimo" w:cs="Arimo"/>
          <w:color w:val="000000"/>
          <w:sz w:val="24"/>
          <w:szCs w:val="24"/>
        </w:rPr>
        <w:lastRenderedPageBreak/>
        <w:t xml:space="preserve">endpoint validity, and post hoc selection of candidates and thresholds (Additional file 5).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5. Conclusions </w:t>
            </w:r>
          </w:p>
        </w:tc>
      </w:tr>
    </w:tbl>
    <w:p w:rsidR="004009B8" w:rsidRDefault="004009B8" w:rsidP="004009B8">
      <w:p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sz w:val="24"/>
          <w:szCs w:val="24"/>
        </w:rPr>
        <w:t>Routine laboratory and clinical measurements contained useful but uneven predictive information for additional recorded screening findings. The strongest endpoints, recorded low bone mass and prostate echotexture, showed moderate within-group discrimination. However, both discrimination and calibration weakened under temporal shift, and pooled metrics could mask poor within-group ranking. The key implication is both methodological and practical: routine data may support the targeted development of screening-</w:t>
      </w:r>
      <w:proofErr w:type="spellStart"/>
      <w:r w:rsidRPr="004009B8">
        <w:rPr>
          <w:rFonts w:ascii="Arimo" w:eastAsia="Times New Roman" w:hAnsi="Arimo" w:cs="Times New Roman"/>
          <w:sz w:val="24"/>
          <w:szCs w:val="24"/>
        </w:rPr>
        <w:t>prioritisation</w:t>
      </w:r>
      <w:proofErr w:type="spellEnd"/>
      <w:r w:rsidRPr="004009B8">
        <w:rPr>
          <w:rFonts w:ascii="Arimo" w:eastAsia="Times New Roman" w:hAnsi="Arimo" w:cs="Times New Roman"/>
          <w:sz w:val="24"/>
          <w:szCs w:val="24"/>
        </w:rPr>
        <w:t xml:space="preserve"> tools, but evaluation must be anchored to the group, time period, endpoint definition, and decision threshold in which the tool will actually operate. Reanalysis with the retained upstream identifier, clinical adjudication of source labels, and prospective validation of frozen thresholds are the necessary next steps before any referral intervention is tested.</w:t>
      </w:r>
    </w:p>
    <w:p w:rsidR="00681452" w:rsidRPr="004009B8" w:rsidRDefault="00681452" w:rsidP="004009B8">
      <w:pPr>
        <w:spacing w:before="100" w:beforeAutospacing="1" w:after="100" w:afterAutospacing="1" w:line="240" w:lineRule="auto"/>
        <w:rPr>
          <w:rFonts w:ascii="Arimo" w:eastAsia="Times New Roman" w:hAnsi="Arimo" w:cs="Times New Roman"/>
          <w:sz w:val="24"/>
          <w:szCs w:val="24"/>
        </w:rPr>
      </w:pPr>
    </w:p>
    <w:p w:rsidR="004009B8" w:rsidRPr="004009B8" w:rsidRDefault="004009B8" w:rsidP="004009B8">
      <w:pPr>
        <w:spacing w:before="100" w:beforeAutospacing="1" w:after="100" w:afterAutospacing="1" w:line="240" w:lineRule="auto"/>
        <w:outlineLvl w:val="2"/>
        <w:rPr>
          <w:rFonts w:ascii="Arimo" w:eastAsia="Times New Roman" w:hAnsi="Arimo" w:cs="Times New Roman"/>
          <w:b/>
          <w:bCs/>
          <w:sz w:val="27"/>
          <w:szCs w:val="27"/>
        </w:rPr>
      </w:pPr>
      <w:r w:rsidRPr="004009B8">
        <w:rPr>
          <w:rFonts w:ascii="Arimo" w:eastAsia="Times New Roman" w:hAnsi="Arimo" w:cs="Times New Roman"/>
          <w:b/>
          <w:bCs/>
          <w:sz w:val="27"/>
          <w:szCs w:val="27"/>
        </w:rPr>
        <w:t>Abbreviations</w:t>
      </w:r>
      <w:bookmarkStart w:id="0" w:name="_GoBack"/>
      <w:bookmarkEnd w:id="0"/>
    </w:p>
    <w:p w:rsidR="004009B8" w:rsidRDefault="004009B8" w:rsidP="004009B8">
      <w:p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sz w:val="24"/>
          <w:szCs w:val="24"/>
        </w:rPr>
        <w:t>AI, artificial intelligence; AUPRC, area under the precision-recall curve; AUROC, area under the receiver operating characteristic curve; BMD, bone mineral density; BMI, body mass index; IQR, interquartile range; K6, six-item psychological distress scale; SD, standard deviation. Laboratory abbreviations and source spellings are detailed in Additional file 1.</w:t>
      </w:r>
    </w:p>
    <w:p w:rsidR="004009B8" w:rsidRPr="004009B8" w:rsidRDefault="004009B8" w:rsidP="004009B8">
      <w:pPr>
        <w:spacing w:before="100" w:beforeAutospacing="1" w:after="100" w:afterAutospacing="1" w:line="240" w:lineRule="auto"/>
        <w:rPr>
          <w:rFonts w:ascii="Arimo" w:eastAsia="Times New Roman" w:hAnsi="Arimo" w:cs="Times New Roman" w:hint="cs"/>
          <w:sz w:val="24"/>
          <w:szCs w:val="24"/>
          <w:rtl/>
          <w:lang w:bidi="fa-IR"/>
        </w:rPr>
      </w:pPr>
    </w:p>
    <w:p w:rsidR="004009B8" w:rsidRPr="004009B8" w:rsidRDefault="004009B8" w:rsidP="004009B8">
      <w:pPr>
        <w:spacing w:before="100" w:beforeAutospacing="1" w:after="100" w:afterAutospacing="1" w:line="240" w:lineRule="auto"/>
        <w:outlineLvl w:val="2"/>
        <w:rPr>
          <w:rFonts w:ascii="Arimo" w:eastAsia="Times New Roman" w:hAnsi="Arimo" w:cs="Times New Roman"/>
          <w:b/>
          <w:bCs/>
          <w:sz w:val="27"/>
          <w:szCs w:val="27"/>
        </w:rPr>
      </w:pPr>
      <w:r w:rsidRPr="004009B8">
        <w:rPr>
          <w:rFonts w:ascii="Arimo" w:eastAsia="Times New Roman" w:hAnsi="Arimo" w:cs="Times New Roman"/>
          <w:b/>
          <w:bCs/>
          <w:sz w:val="27"/>
          <w:szCs w:val="27"/>
        </w:rPr>
        <w:t>Declarations</w:t>
      </w:r>
    </w:p>
    <w:p w:rsidR="004009B8" w:rsidRPr="004009B8" w:rsidRDefault="004009B8" w:rsidP="004009B8">
      <w:pPr>
        <w:spacing w:before="100" w:beforeAutospacing="1" w:after="100" w:afterAutospacing="1" w:line="240" w:lineRule="auto"/>
        <w:outlineLvl w:val="3"/>
        <w:rPr>
          <w:rFonts w:ascii="Arimo" w:eastAsia="Times New Roman" w:hAnsi="Arimo" w:cs="Times New Roman"/>
          <w:b/>
          <w:bCs/>
          <w:sz w:val="24"/>
          <w:szCs w:val="24"/>
        </w:rPr>
      </w:pPr>
      <w:r w:rsidRPr="004009B8">
        <w:rPr>
          <w:rFonts w:ascii="Arimo" w:eastAsia="Times New Roman" w:hAnsi="Arimo" w:cs="Times New Roman"/>
          <w:b/>
          <w:bCs/>
          <w:sz w:val="24"/>
          <w:szCs w:val="24"/>
        </w:rPr>
        <w:t>Ethics approval and consent to participate</w:t>
      </w:r>
    </w:p>
    <w:p w:rsidR="004009B8" w:rsidRPr="004009B8" w:rsidRDefault="004009B8" w:rsidP="004009B8">
      <w:p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sz w:val="24"/>
          <w:szCs w:val="24"/>
        </w:rPr>
        <w:t xml:space="preserve">This retrospective study </w:t>
      </w:r>
      <w:proofErr w:type="spellStart"/>
      <w:r w:rsidRPr="004009B8">
        <w:rPr>
          <w:rFonts w:ascii="Arimo" w:eastAsia="Times New Roman" w:hAnsi="Arimo" w:cs="Times New Roman"/>
          <w:sz w:val="24"/>
          <w:szCs w:val="24"/>
        </w:rPr>
        <w:t>analysed</w:t>
      </w:r>
      <w:proofErr w:type="spellEnd"/>
      <w:r w:rsidRPr="004009B8">
        <w:rPr>
          <w:rFonts w:ascii="Arimo" w:eastAsia="Times New Roman" w:hAnsi="Arimo" w:cs="Times New Roman"/>
          <w:sz w:val="24"/>
          <w:szCs w:val="24"/>
        </w:rPr>
        <w:t xml:space="preserve"> de-identified occupational health-examination records. Access to the data for research use was approved by Davis Company. No separate research ethics committee review was undertaken. Individual informed consent was not obtained because all </w:t>
      </w:r>
      <w:proofErr w:type="spellStart"/>
      <w:r w:rsidRPr="004009B8">
        <w:rPr>
          <w:rFonts w:ascii="Arimo" w:eastAsia="Times New Roman" w:hAnsi="Arimo" w:cs="Times New Roman"/>
          <w:sz w:val="24"/>
          <w:szCs w:val="24"/>
        </w:rPr>
        <w:t>analysed</w:t>
      </w:r>
      <w:proofErr w:type="spellEnd"/>
      <w:r w:rsidRPr="004009B8">
        <w:rPr>
          <w:rFonts w:ascii="Arimo" w:eastAsia="Times New Roman" w:hAnsi="Arimo" w:cs="Times New Roman"/>
          <w:sz w:val="24"/>
          <w:szCs w:val="24"/>
        </w:rPr>
        <w:t xml:space="preserve"> data were de-identified before analysis and no participants were contacted.</w:t>
      </w:r>
    </w:p>
    <w:p w:rsidR="004009B8" w:rsidRPr="004009B8" w:rsidRDefault="004009B8" w:rsidP="004009B8">
      <w:pPr>
        <w:spacing w:before="100" w:beforeAutospacing="1" w:after="100" w:afterAutospacing="1" w:line="240" w:lineRule="auto"/>
        <w:outlineLvl w:val="3"/>
        <w:rPr>
          <w:rFonts w:ascii="Arimo" w:eastAsia="Times New Roman" w:hAnsi="Arimo" w:cs="Times New Roman"/>
          <w:b/>
          <w:bCs/>
          <w:sz w:val="24"/>
          <w:szCs w:val="24"/>
        </w:rPr>
      </w:pPr>
      <w:r w:rsidRPr="004009B8">
        <w:rPr>
          <w:rFonts w:ascii="Arimo" w:eastAsia="Times New Roman" w:hAnsi="Arimo" w:cs="Times New Roman"/>
          <w:b/>
          <w:bCs/>
          <w:sz w:val="24"/>
          <w:szCs w:val="24"/>
        </w:rPr>
        <w:t>Consent for publication</w:t>
      </w:r>
    </w:p>
    <w:p w:rsidR="004009B8" w:rsidRPr="004009B8" w:rsidRDefault="004009B8" w:rsidP="004009B8">
      <w:p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sz w:val="24"/>
          <w:szCs w:val="24"/>
        </w:rPr>
        <w:t>Not applicable. This study used de-identified data and does not contain identifiable individual information.</w:t>
      </w:r>
    </w:p>
    <w:p w:rsidR="004009B8" w:rsidRPr="004009B8" w:rsidRDefault="004009B8" w:rsidP="004009B8">
      <w:pPr>
        <w:spacing w:before="100" w:beforeAutospacing="1" w:after="100" w:afterAutospacing="1" w:line="240" w:lineRule="auto"/>
        <w:outlineLvl w:val="3"/>
        <w:rPr>
          <w:rFonts w:ascii="Arimo" w:eastAsia="Times New Roman" w:hAnsi="Arimo" w:cs="Times New Roman"/>
          <w:b/>
          <w:bCs/>
          <w:sz w:val="24"/>
          <w:szCs w:val="24"/>
        </w:rPr>
      </w:pPr>
      <w:r w:rsidRPr="004009B8">
        <w:rPr>
          <w:rFonts w:ascii="Arimo" w:eastAsia="Times New Roman" w:hAnsi="Arimo" w:cs="Times New Roman"/>
          <w:b/>
          <w:bCs/>
          <w:sz w:val="24"/>
          <w:szCs w:val="24"/>
        </w:rPr>
        <w:t>Availability of data and materials</w:t>
      </w:r>
    </w:p>
    <w:p w:rsidR="004009B8" w:rsidRPr="004009B8" w:rsidRDefault="004009B8" w:rsidP="004009B8">
      <w:p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sz w:val="24"/>
          <w:szCs w:val="24"/>
        </w:rPr>
        <w:lastRenderedPageBreak/>
        <w:t xml:space="preserve">The datasets </w:t>
      </w:r>
      <w:proofErr w:type="spellStart"/>
      <w:r w:rsidRPr="004009B8">
        <w:rPr>
          <w:rFonts w:ascii="Arimo" w:eastAsia="Times New Roman" w:hAnsi="Arimo" w:cs="Times New Roman"/>
          <w:sz w:val="24"/>
          <w:szCs w:val="24"/>
        </w:rPr>
        <w:t>analysed</w:t>
      </w:r>
      <w:proofErr w:type="spellEnd"/>
      <w:r w:rsidRPr="004009B8">
        <w:rPr>
          <w:rFonts w:ascii="Arimo" w:eastAsia="Times New Roman" w:hAnsi="Arimo" w:cs="Times New Roman"/>
          <w:sz w:val="24"/>
          <w:szCs w:val="24"/>
        </w:rPr>
        <w:t xml:space="preserve"> during the current study are not publicly available because they contain sensitive occupational health information. Access may be considered through the data custodian under appropriate privacy and governance agreements. No public availability of participant-level records is asserted.</w:t>
      </w:r>
    </w:p>
    <w:p w:rsidR="004009B8" w:rsidRPr="004009B8" w:rsidRDefault="004009B8" w:rsidP="004009B8">
      <w:pPr>
        <w:spacing w:before="100" w:beforeAutospacing="1" w:after="100" w:afterAutospacing="1" w:line="240" w:lineRule="auto"/>
        <w:outlineLvl w:val="3"/>
        <w:rPr>
          <w:rFonts w:ascii="Arimo" w:eastAsia="Times New Roman" w:hAnsi="Arimo" w:cs="Times New Roman"/>
          <w:b/>
          <w:bCs/>
          <w:sz w:val="24"/>
          <w:szCs w:val="24"/>
        </w:rPr>
      </w:pPr>
      <w:r w:rsidRPr="004009B8">
        <w:rPr>
          <w:rFonts w:ascii="Arimo" w:eastAsia="Times New Roman" w:hAnsi="Arimo" w:cs="Times New Roman"/>
          <w:b/>
          <w:bCs/>
          <w:sz w:val="24"/>
          <w:szCs w:val="24"/>
        </w:rPr>
        <w:t>Code availability</w:t>
      </w:r>
    </w:p>
    <w:p w:rsidR="004009B8" w:rsidRPr="004009B8" w:rsidRDefault="004009B8" w:rsidP="004009B8">
      <w:p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sz w:val="24"/>
          <w:szCs w:val="24"/>
        </w:rPr>
        <w:t>The analysis code and supporting materials are available in the authors' GitHub repository (</w:t>
      </w:r>
      <w:hyperlink r:id="rId10" w:history="1">
        <w:r w:rsidRPr="004009B8">
          <w:rPr>
            <w:rFonts w:ascii="Arimo" w:eastAsia="Times New Roman" w:hAnsi="Arimo" w:cs="Times New Roman"/>
            <w:color w:val="0000FF"/>
            <w:sz w:val="24"/>
            <w:szCs w:val="24"/>
            <w:u w:val="single"/>
          </w:rPr>
          <w:t>https://github.com/m451h/ESAM</w:t>
        </w:r>
      </w:hyperlink>
      <w:r w:rsidRPr="004009B8">
        <w:rPr>
          <w:rFonts w:ascii="Arimo" w:eastAsia="Times New Roman" w:hAnsi="Arimo" w:cs="Times New Roman"/>
          <w:sz w:val="24"/>
          <w:szCs w:val="24"/>
        </w:rPr>
        <w:t>).</w:t>
      </w:r>
    </w:p>
    <w:p w:rsidR="004009B8" w:rsidRPr="004009B8" w:rsidRDefault="004009B8" w:rsidP="004009B8">
      <w:pPr>
        <w:spacing w:before="100" w:beforeAutospacing="1" w:after="100" w:afterAutospacing="1" w:line="240" w:lineRule="auto"/>
        <w:outlineLvl w:val="3"/>
        <w:rPr>
          <w:rFonts w:ascii="Arimo" w:eastAsia="Times New Roman" w:hAnsi="Arimo" w:cs="Times New Roman"/>
          <w:b/>
          <w:bCs/>
          <w:sz w:val="24"/>
          <w:szCs w:val="24"/>
        </w:rPr>
      </w:pPr>
      <w:r w:rsidRPr="004009B8">
        <w:rPr>
          <w:rFonts w:ascii="Arimo" w:eastAsia="Times New Roman" w:hAnsi="Arimo" w:cs="Times New Roman"/>
          <w:b/>
          <w:bCs/>
          <w:sz w:val="24"/>
          <w:szCs w:val="24"/>
        </w:rPr>
        <w:t>Competing interests</w:t>
      </w:r>
    </w:p>
    <w:p w:rsidR="004009B8" w:rsidRPr="004009B8" w:rsidRDefault="004009B8" w:rsidP="004009B8">
      <w:pPr>
        <w:spacing w:before="100" w:beforeAutospacing="1" w:after="100" w:afterAutospacing="1" w:line="240" w:lineRule="auto"/>
        <w:rPr>
          <w:rFonts w:ascii="Arimo" w:eastAsia="Times New Roman" w:hAnsi="Arimo" w:cs="Times New Roman"/>
          <w:sz w:val="24"/>
          <w:szCs w:val="24"/>
        </w:rPr>
      </w:pPr>
      <w:proofErr w:type="spellStart"/>
      <w:r w:rsidRPr="004009B8">
        <w:rPr>
          <w:rFonts w:ascii="Arimo" w:eastAsia="Times New Roman" w:hAnsi="Arimo" w:cs="Times New Roman"/>
          <w:sz w:val="24"/>
          <w:szCs w:val="24"/>
        </w:rPr>
        <w:t>Aliasghar</w:t>
      </w:r>
      <w:proofErr w:type="spellEnd"/>
      <w:r w:rsidRPr="004009B8">
        <w:rPr>
          <w:rFonts w:ascii="Arimo" w:eastAsia="Times New Roman" w:hAnsi="Arimo" w:cs="Times New Roman"/>
          <w:sz w:val="24"/>
          <w:szCs w:val="24"/>
        </w:rPr>
        <w:t xml:space="preserve"> </w:t>
      </w:r>
      <w:proofErr w:type="spellStart"/>
      <w:r w:rsidRPr="004009B8">
        <w:rPr>
          <w:rFonts w:ascii="Arimo" w:eastAsia="Times New Roman" w:hAnsi="Arimo" w:cs="Times New Roman"/>
          <w:sz w:val="24"/>
          <w:szCs w:val="24"/>
        </w:rPr>
        <w:t>Noori</w:t>
      </w:r>
      <w:proofErr w:type="spellEnd"/>
      <w:r w:rsidRPr="004009B8">
        <w:rPr>
          <w:rFonts w:ascii="Arimo" w:eastAsia="Times New Roman" w:hAnsi="Arimo" w:cs="Times New Roman"/>
          <w:sz w:val="24"/>
          <w:szCs w:val="24"/>
        </w:rPr>
        <w:t xml:space="preserve">, </w:t>
      </w:r>
      <w:proofErr w:type="spellStart"/>
      <w:r w:rsidRPr="004009B8">
        <w:rPr>
          <w:rFonts w:ascii="Arimo" w:eastAsia="Times New Roman" w:hAnsi="Arimo" w:cs="Times New Roman"/>
          <w:sz w:val="24"/>
          <w:szCs w:val="24"/>
        </w:rPr>
        <w:t>Masih</w:t>
      </w:r>
      <w:proofErr w:type="spellEnd"/>
      <w:r w:rsidRPr="004009B8">
        <w:rPr>
          <w:rFonts w:ascii="Arimo" w:eastAsia="Times New Roman" w:hAnsi="Arimo" w:cs="Times New Roman"/>
          <w:sz w:val="24"/>
          <w:szCs w:val="24"/>
        </w:rPr>
        <w:t xml:space="preserve"> Mousavi, and Mehdi </w:t>
      </w:r>
      <w:proofErr w:type="spellStart"/>
      <w:r w:rsidRPr="004009B8">
        <w:rPr>
          <w:rFonts w:ascii="Arimo" w:eastAsia="Times New Roman" w:hAnsi="Arimo" w:cs="Times New Roman"/>
          <w:sz w:val="24"/>
          <w:szCs w:val="24"/>
        </w:rPr>
        <w:t>Hosseinpour</w:t>
      </w:r>
      <w:proofErr w:type="spellEnd"/>
      <w:r w:rsidRPr="004009B8">
        <w:rPr>
          <w:rFonts w:ascii="Arimo" w:eastAsia="Times New Roman" w:hAnsi="Arimo" w:cs="Times New Roman"/>
          <w:sz w:val="24"/>
          <w:szCs w:val="24"/>
        </w:rPr>
        <w:t xml:space="preserve"> are affiliated with Davis Company, which approved access to the data used in this study. The authors declare no other competing interests.</w:t>
      </w:r>
    </w:p>
    <w:p w:rsidR="004009B8" w:rsidRPr="004009B8" w:rsidRDefault="004009B8" w:rsidP="004009B8">
      <w:pPr>
        <w:spacing w:before="100" w:beforeAutospacing="1" w:after="100" w:afterAutospacing="1" w:line="240" w:lineRule="auto"/>
        <w:outlineLvl w:val="3"/>
        <w:rPr>
          <w:rFonts w:ascii="Arimo" w:eastAsia="Times New Roman" w:hAnsi="Arimo" w:cs="Times New Roman"/>
          <w:b/>
          <w:bCs/>
          <w:sz w:val="24"/>
          <w:szCs w:val="24"/>
        </w:rPr>
      </w:pPr>
      <w:r w:rsidRPr="004009B8">
        <w:rPr>
          <w:rFonts w:ascii="Arimo" w:eastAsia="Times New Roman" w:hAnsi="Arimo" w:cs="Times New Roman"/>
          <w:b/>
          <w:bCs/>
          <w:sz w:val="24"/>
          <w:szCs w:val="24"/>
        </w:rPr>
        <w:t>Funding</w:t>
      </w:r>
    </w:p>
    <w:p w:rsidR="004009B8" w:rsidRPr="004009B8" w:rsidRDefault="004009B8" w:rsidP="004009B8">
      <w:p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sz w:val="24"/>
          <w:szCs w:val="24"/>
        </w:rPr>
        <w:t>This research received no specific grant from any funding agency in the public, commercial, or not-for-profit sectors. Davis Company approved access to the data.</w:t>
      </w:r>
    </w:p>
    <w:p w:rsidR="004009B8" w:rsidRPr="004009B8" w:rsidRDefault="004009B8" w:rsidP="004009B8">
      <w:pPr>
        <w:spacing w:before="100" w:beforeAutospacing="1" w:after="100" w:afterAutospacing="1" w:line="240" w:lineRule="auto"/>
        <w:outlineLvl w:val="3"/>
        <w:rPr>
          <w:rFonts w:ascii="Arimo" w:eastAsia="Times New Roman" w:hAnsi="Arimo" w:cs="Times New Roman"/>
          <w:b/>
          <w:bCs/>
          <w:sz w:val="24"/>
          <w:szCs w:val="24"/>
        </w:rPr>
      </w:pPr>
      <w:r w:rsidRPr="004009B8">
        <w:rPr>
          <w:rFonts w:ascii="Arimo" w:eastAsia="Times New Roman" w:hAnsi="Arimo" w:cs="Times New Roman"/>
          <w:b/>
          <w:bCs/>
          <w:sz w:val="24"/>
          <w:szCs w:val="24"/>
        </w:rPr>
        <w:t>Authors' contributions</w:t>
      </w:r>
    </w:p>
    <w:p w:rsidR="004009B8" w:rsidRPr="004009B8" w:rsidRDefault="004009B8" w:rsidP="00882AE1">
      <w:pPr>
        <w:spacing w:before="100" w:beforeAutospacing="1" w:after="100" w:afterAutospacing="1" w:line="240" w:lineRule="auto"/>
        <w:rPr>
          <w:rFonts w:ascii="Arimo" w:eastAsia="Times New Roman" w:hAnsi="Arimo" w:cs="Times New Roman"/>
          <w:sz w:val="24"/>
          <w:szCs w:val="24"/>
        </w:rPr>
      </w:pPr>
      <w:proofErr w:type="spellStart"/>
      <w:r w:rsidRPr="004009B8">
        <w:rPr>
          <w:rFonts w:ascii="Arimo" w:eastAsia="Times New Roman" w:hAnsi="Arimo" w:cs="Times New Roman"/>
          <w:sz w:val="24"/>
          <w:szCs w:val="24"/>
        </w:rPr>
        <w:t>Aliasghar</w:t>
      </w:r>
      <w:proofErr w:type="spellEnd"/>
      <w:r w:rsidRPr="004009B8">
        <w:rPr>
          <w:rFonts w:ascii="Arimo" w:eastAsia="Times New Roman" w:hAnsi="Arimo" w:cs="Times New Roman"/>
          <w:sz w:val="24"/>
          <w:szCs w:val="24"/>
        </w:rPr>
        <w:t xml:space="preserve"> </w:t>
      </w:r>
      <w:proofErr w:type="spellStart"/>
      <w:r w:rsidRPr="004009B8">
        <w:rPr>
          <w:rFonts w:ascii="Arimo" w:eastAsia="Times New Roman" w:hAnsi="Arimo" w:cs="Times New Roman"/>
          <w:sz w:val="24"/>
          <w:szCs w:val="24"/>
        </w:rPr>
        <w:t>Noori</w:t>
      </w:r>
      <w:proofErr w:type="spellEnd"/>
      <w:r w:rsidRPr="004009B8">
        <w:rPr>
          <w:rFonts w:ascii="Arimo" w:eastAsia="Times New Roman" w:hAnsi="Arimo" w:cs="Times New Roman"/>
          <w:sz w:val="24"/>
          <w:szCs w:val="24"/>
        </w:rPr>
        <w:t>: Conceptualization, Methodology, Supervision, Project administration.</w:t>
      </w:r>
      <w:r w:rsidRPr="004009B8">
        <w:rPr>
          <w:rFonts w:ascii="Arimo" w:eastAsia="Times New Roman" w:hAnsi="Arimo" w:cs="Times New Roman"/>
          <w:sz w:val="24"/>
          <w:szCs w:val="24"/>
        </w:rPr>
        <w:br/>
      </w:r>
      <w:proofErr w:type="spellStart"/>
      <w:r w:rsidRPr="004009B8">
        <w:rPr>
          <w:rFonts w:ascii="Arimo" w:eastAsia="Times New Roman" w:hAnsi="Arimo" w:cs="Times New Roman"/>
          <w:sz w:val="24"/>
          <w:szCs w:val="24"/>
        </w:rPr>
        <w:t>Masih</w:t>
      </w:r>
      <w:proofErr w:type="spellEnd"/>
      <w:r w:rsidRPr="004009B8">
        <w:rPr>
          <w:rFonts w:ascii="Arimo" w:eastAsia="Times New Roman" w:hAnsi="Arimo" w:cs="Times New Roman"/>
          <w:sz w:val="24"/>
          <w:szCs w:val="24"/>
        </w:rPr>
        <w:t xml:space="preserve"> Mousavi: Conceptualization, Methodology, Software, Data curation, Formal analysis, Investigation, Writing – original draft, Visualization, Project administration</w:t>
      </w:r>
      <w:r w:rsidR="00882AE1">
        <w:rPr>
          <w:rFonts w:ascii="Arimo" w:eastAsia="Times New Roman" w:hAnsi="Arimo" w:cs="Times New Roman"/>
          <w:sz w:val="24"/>
          <w:szCs w:val="24"/>
        </w:rPr>
        <w:t xml:space="preserve">, </w:t>
      </w:r>
      <w:r w:rsidR="00882AE1">
        <w:rPr>
          <w:rFonts w:ascii="Arimo" w:eastAsia="Arimo" w:hAnsi="Arimo" w:cs="Arimo"/>
          <w:color w:val="000000"/>
          <w:sz w:val="24"/>
          <w:szCs w:val="24"/>
        </w:rPr>
        <w:t>validation.</w:t>
      </w:r>
      <w:r w:rsidRPr="004009B8">
        <w:rPr>
          <w:rFonts w:ascii="Arimo" w:eastAsia="Times New Roman" w:hAnsi="Arimo" w:cs="Times New Roman"/>
          <w:sz w:val="24"/>
          <w:szCs w:val="24"/>
        </w:rPr>
        <w:br/>
      </w:r>
      <w:proofErr w:type="spellStart"/>
      <w:r w:rsidRPr="004009B8">
        <w:rPr>
          <w:rFonts w:ascii="Arimo" w:eastAsia="Times New Roman" w:hAnsi="Arimo" w:cs="Times New Roman"/>
          <w:sz w:val="24"/>
          <w:szCs w:val="24"/>
        </w:rPr>
        <w:t>Bardia</w:t>
      </w:r>
      <w:proofErr w:type="spellEnd"/>
      <w:r w:rsidRPr="004009B8">
        <w:rPr>
          <w:rFonts w:ascii="Arimo" w:eastAsia="Times New Roman" w:hAnsi="Arimo" w:cs="Times New Roman"/>
          <w:sz w:val="24"/>
          <w:szCs w:val="24"/>
        </w:rPr>
        <w:t xml:space="preserve"> </w:t>
      </w:r>
      <w:proofErr w:type="spellStart"/>
      <w:r w:rsidRPr="004009B8">
        <w:rPr>
          <w:rFonts w:ascii="Arimo" w:eastAsia="Times New Roman" w:hAnsi="Arimo" w:cs="Times New Roman"/>
          <w:sz w:val="24"/>
          <w:szCs w:val="24"/>
        </w:rPr>
        <w:t>Malackzadeh</w:t>
      </w:r>
      <w:proofErr w:type="spellEnd"/>
      <w:r w:rsidRPr="004009B8">
        <w:rPr>
          <w:rFonts w:ascii="Arimo" w:eastAsia="Times New Roman" w:hAnsi="Arimo" w:cs="Times New Roman"/>
          <w:sz w:val="24"/>
          <w:szCs w:val="24"/>
        </w:rPr>
        <w:t>: Writing – review &amp; editing, Visualization.</w:t>
      </w:r>
      <w:r w:rsidRPr="004009B8">
        <w:rPr>
          <w:rFonts w:ascii="Arimo" w:eastAsia="Times New Roman" w:hAnsi="Arimo" w:cs="Times New Roman"/>
          <w:sz w:val="24"/>
          <w:szCs w:val="24"/>
        </w:rPr>
        <w:br/>
        <w:t xml:space="preserve">Mehdi </w:t>
      </w:r>
      <w:proofErr w:type="spellStart"/>
      <w:r w:rsidRPr="004009B8">
        <w:rPr>
          <w:rFonts w:ascii="Arimo" w:eastAsia="Times New Roman" w:hAnsi="Arimo" w:cs="Times New Roman"/>
          <w:sz w:val="24"/>
          <w:szCs w:val="24"/>
        </w:rPr>
        <w:t>Hosseinpour</w:t>
      </w:r>
      <w:proofErr w:type="spellEnd"/>
      <w:r w:rsidRPr="004009B8">
        <w:rPr>
          <w:rFonts w:ascii="Arimo" w:eastAsia="Times New Roman" w:hAnsi="Arimo" w:cs="Times New Roman"/>
          <w:sz w:val="24"/>
          <w:szCs w:val="24"/>
        </w:rPr>
        <w:t>: Methodology, Software, Data curation.</w:t>
      </w:r>
      <w:r w:rsidRPr="004009B8">
        <w:rPr>
          <w:rFonts w:ascii="Arimo" w:eastAsia="Times New Roman" w:hAnsi="Arimo" w:cs="Times New Roman"/>
          <w:sz w:val="24"/>
          <w:szCs w:val="24"/>
        </w:rPr>
        <w:br/>
        <w:t xml:space="preserve">Reza </w:t>
      </w:r>
      <w:proofErr w:type="spellStart"/>
      <w:r w:rsidRPr="004009B8">
        <w:rPr>
          <w:rFonts w:ascii="Arimo" w:eastAsia="Times New Roman" w:hAnsi="Arimo" w:cs="Times New Roman"/>
          <w:sz w:val="24"/>
          <w:szCs w:val="24"/>
        </w:rPr>
        <w:t>Jafari</w:t>
      </w:r>
      <w:proofErr w:type="spellEnd"/>
      <w:r w:rsidRPr="004009B8">
        <w:rPr>
          <w:rFonts w:ascii="Arimo" w:eastAsia="Times New Roman" w:hAnsi="Arimo" w:cs="Times New Roman"/>
          <w:sz w:val="24"/>
          <w:szCs w:val="24"/>
        </w:rPr>
        <w:t>: Visualization (manuscript formatting and template design), Writing – review &amp; editing.</w:t>
      </w:r>
    </w:p>
    <w:p w:rsidR="004009B8" w:rsidRPr="004009B8" w:rsidRDefault="004009B8" w:rsidP="004009B8">
      <w:p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sz w:val="24"/>
          <w:szCs w:val="24"/>
        </w:rPr>
        <w:t>All authors read and approved the final manuscript and agree to be accountable for all aspects of the work.</w:t>
      </w:r>
    </w:p>
    <w:p w:rsidR="004009B8" w:rsidRPr="004009B8" w:rsidRDefault="004009B8" w:rsidP="004009B8">
      <w:pPr>
        <w:spacing w:before="100" w:beforeAutospacing="1" w:after="100" w:afterAutospacing="1" w:line="240" w:lineRule="auto"/>
        <w:outlineLvl w:val="3"/>
        <w:rPr>
          <w:rFonts w:ascii="Arimo" w:eastAsia="Times New Roman" w:hAnsi="Arimo" w:cs="Times New Roman"/>
          <w:b/>
          <w:bCs/>
          <w:sz w:val="24"/>
          <w:szCs w:val="24"/>
        </w:rPr>
      </w:pPr>
      <w:r w:rsidRPr="004009B8">
        <w:rPr>
          <w:rFonts w:ascii="Arimo" w:eastAsia="Times New Roman" w:hAnsi="Arimo" w:cs="Times New Roman"/>
          <w:b/>
          <w:bCs/>
          <w:sz w:val="24"/>
          <w:szCs w:val="24"/>
        </w:rPr>
        <w:t>Acknowledgements</w:t>
      </w:r>
    </w:p>
    <w:p w:rsidR="004009B8" w:rsidRPr="004009B8" w:rsidRDefault="004009B8" w:rsidP="004009B8">
      <w:p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sz w:val="24"/>
          <w:szCs w:val="24"/>
        </w:rPr>
        <w:t>Not applicable.</w:t>
      </w:r>
    </w:p>
    <w:p w:rsidR="004009B8" w:rsidRPr="004009B8" w:rsidRDefault="004009B8" w:rsidP="004009B8">
      <w:pPr>
        <w:spacing w:before="100" w:beforeAutospacing="1" w:after="100" w:afterAutospacing="1" w:line="240" w:lineRule="auto"/>
        <w:outlineLvl w:val="3"/>
        <w:rPr>
          <w:rFonts w:ascii="Arimo" w:eastAsia="Times New Roman" w:hAnsi="Arimo" w:cs="Times New Roman"/>
          <w:b/>
          <w:bCs/>
          <w:sz w:val="24"/>
          <w:szCs w:val="24"/>
        </w:rPr>
      </w:pPr>
      <w:r w:rsidRPr="004009B8">
        <w:rPr>
          <w:rFonts w:ascii="Arimo" w:eastAsia="Times New Roman" w:hAnsi="Arimo" w:cs="Times New Roman"/>
          <w:b/>
          <w:bCs/>
          <w:sz w:val="24"/>
          <w:szCs w:val="24"/>
        </w:rPr>
        <w:t>Patient and public involvement</w:t>
      </w:r>
    </w:p>
    <w:p w:rsidR="004009B8" w:rsidRPr="004009B8" w:rsidRDefault="004009B8" w:rsidP="004009B8">
      <w:p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sz w:val="24"/>
          <w:szCs w:val="24"/>
        </w:rPr>
        <w:t>Patients or members of the public were not involved in the design, conduct, reporting, or dissemination plans of this research.</w:t>
      </w:r>
    </w:p>
    <w:p w:rsidR="004009B8" w:rsidRPr="004009B8" w:rsidRDefault="004009B8" w:rsidP="004009B8">
      <w:pPr>
        <w:spacing w:before="100" w:beforeAutospacing="1" w:after="100" w:afterAutospacing="1" w:line="240" w:lineRule="auto"/>
        <w:outlineLvl w:val="3"/>
        <w:rPr>
          <w:rFonts w:ascii="Arimo" w:eastAsia="Times New Roman" w:hAnsi="Arimo" w:cs="Times New Roman"/>
          <w:b/>
          <w:bCs/>
          <w:sz w:val="24"/>
          <w:szCs w:val="24"/>
        </w:rPr>
      </w:pPr>
      <w:r w:rsidRPr="004009B8">
        <w:rPr>
          <w:rFonts w:ascii="Arimo" w:eastAsia="Times New Roman" w:hAnsi="Arimo" w:cs="Times New Roman"/>
          <w:b/>
          <w:bCs/>
          <w:sz w:val="24"/>
          <w:szCs w:val="24"/>
        </w:rPr>
        <w:t>Use of generative AI</w:t>
      </w:r>
    </w:p>
    <w:p w:rsidR="004009B8" w:rsidRPr="004009B8" w:rsidRDefault="004009B8" w:rsidP="004009B8">
      <w:pPr>
        <w:spacing w:before="100" w:beforeAutospacing="1" w:after="100" w:afterAutospacing="1" w:line="240" w:lineRule="auto"/>
        <w:rPr>
          <w:rFonts w:ascii="Arimo" w:eastAsia="Times New Roman" w:hAnsi="Arimo" w:cs="Times New Roman"/>
          <w:sz w:val="24"/>
          <w:szCs w:val="24"/>
        </w:rPr>
      </w:pPr>
      <w:proofErr w:type="spellStart"/>
      <w:r w:rsidRPr="004009B8">
        <w:rPr>
          <w:rFonts w:ascii="Arimo" w:eastAsia="Times New Roman" w:hAnsi="Arimo" w:cs="Times New Roman"/>
          <w:sz w:val="24"/>
          <w:szCs w:val="24"/>
        </w:rPr>
        <w:t>ChatGPT</w:t>
      </w:r>
      <w:proofErr w:type="spellEnd"/>
      <w:r w:rsidRPr="004009B8">
        <w:rPr>
          <w:rFonts w:ascii="Arimo" w:eastAsia="Times New Roman" w:hAnsi="Arimo" w:cs="Times New Roman"/>
          <w:sz w:val="24"/>
          <w:szCs w:val="24"/>
        </w:rPr>
        <w:t xml:space="preserve"> (</w:t>
      </w:r>
      <w:proofErr w:type="spellStart"/>
      <w:r w:rsidRPr="004009B8">
        <w:rPr>
          <w:rFonts w:ascii="Arimo" w:eastAsia="Times New Roman" w:hAnsi="Arimo" w:cs="Times New Roman"/>
          <w:sz w:val="24"/>
          <w:szCs w:val="24"/>
        </w:rPr>
        <w:t>OpenAI</w:t>
      </w:r>
      <w:proofErr w:type="spellEnd"/>
      <w:r w:rsidRPr="004009B8">
        <w:rPr>
          <w:rFonts w:ascii="Arimo" w:eastAsia="Times New Roman" w:hAnsi="Arimo" w:cs="Times New Roman"/>
          <w:sz w:val="24"/>
          <w:szCs w:val="24"/>
        </w:rPr>
        <w:t xml:space="preserve">) assisted with drafting, language revision, code development for the audits and sensitivity analyses, and checking numerical and formatting </w:t>
      </w:r>
      <w:r w:rsidRPr="004009B8">
        <w:rPr>
          <w:rFonts w:ascii="Arimo" w:eastAsia="Times New Roman" w:hAnsi="Arimo" w:cs="Times New Roman"/>
          <w:sz w:val="24"/>
          <w:szCs w:val="24"/>
        </w:rPr>
        <w:lastRenderedPageBreak/>
        <w:t>consistency. Claude (Anthropic) was used for language editing and academic-style revision of the manuscript text, manuscript formatting and template preparation, and consistency checks of section numbering, citations, and tables. Statistical calculations were executed in Python on the supplied project data. All authors reviewed the AI-assisted outputs and accept responsibility for the final content. The AI tools are not authors.</w:t>
      </w:r>
    </w:p>
    <w:p w:rsidR="004009B8" w:rsidRPr="004009B8" w:rsidRDefault="004009B8" w:rsidP="004009B8">
      <w:pPr>
        <w:spacing w:before="100" w:beforeAutospacing="1" w:after="100" w:afterAutospacing="1" w:line="240" w:lineRule="auto"/>
        <w:outlineLvl w:val="2"/>
        <w:rPr>
          <w:rFonts w:ascii="Arimo" w:eastAsia="Times New Roman" w:hAnsi="Arimo" w:cs="Times New Roman"/>
          <w:b/>
          <w:bCs/>
          <w:sz w:val="27"/>
          <w:szCs w:val="27"/>
        </w:rPr>
      </w:pPr>
      <w:r w:rsidRPr="004009B8">
        <w:rPr>
          <w:rFonts w:ascii="Arimo" w:eastAsia="Times New Roman" w:hAnsi="Arimo" w:cs="Times New Roman"/>
          <w:b/>
          <w:bCs/>
          <w:sz w:val="27"/>
          <w:szCs w:val="27"/>
        </w:rPr>
        <w:t>Additional files</w:t>
      </w:r>
    </w:p>
    <w:p w:rsidR="004009B8" w:rsidRPr="004009B8" w:rsidRDefault="004009B8" w:rsidP="004009B8">
      <w:pPr>
        <w:numPr>
          <w:ilvl w:val="0"/>
          <w:numId w:val="4"/>
        </w:num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b/>
          <w:bCs/>
          <w:sz w:val="24"/>
          <w:szCs w:val="24"/>
        </w:rPr>
        <w:t>Additional file 1.</w:t>
      </w:r>
      <w:r w:rsidRPr="004009B8">
        <w:rPr>
          <w:rFonts w:ascii="Arimo" w:eastAsia="Times New Roman" w:hAnsi="Arimo" w:cs="Times New Roman"/>
          <w:sz w:val="24"/>
          <w:szCs w:val="24"/>
        </w:rPr>
        <w:t xml:space="preserve"> Data dictionary for all 50 predictors and 12 outcomes (DOCX; accompanying S1_predictors.csv and S1_outcomes.csv).</w:t>
      </w:r>
    </w:p>
    <w:p w:rsidR="004009B8" w:rsidRPr="004009B8" w:rsidRDefault="004009B8" w:rsidP="004009B8">
      <w:pPr>
        <w:numPr>
          <w:ilvl w:val="0"/>
          <w:numId w:val="4"/>
        </w:num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b/>
          <w:bCs/>
          <w:sz w:val="24"/>
          <w:szCs w:val="24"/>
        </w:rPr>
        <w:t>Additional file 2.</w:t>
      </w:r>
      <w:r w:rsidRPr="004009B8">
        <w:rPr>
          <w:rFonts w:ascii="Arimo" w:eastAsia="Times New Roman" w:hAnsi="Arimo" w:cs="Times New Roman"/>
          <w:sz w:val="24"/>
          <w:szCs w:val="24"/>
        </w:rPr>
        <w:t xml:space="preserve"> Identity audit, VT D3 investigation, first-record sensitivity analyses, and historical full-panel calibration (DOCX; accompanying S2_identity_audit.csv, S2_VTD3_audit.csv, S2_first_record_results.csv, and S2_historical_calibration.csv). Summary CSVs transcribe reported results; later revision scripts are not included.</w:t>
      </w:r>
    </w:p>
    <w:p w:rsidR="004009B8" w:rsidRPr="004009B8" w:rsidRDefault="004009B8" w:rsidP="004009B8">
      <w:pPr>
        <w:numPr>
          <w:ilvl w:val="0"/>
          <w:numId w:val="4"/>
        </w:num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b/>
          <w:bCs/>
          <w:sz w:val="24"/>
          <w:szCs w:val="24"/>
        </w:rPr>
        <w:t>Additional file 3.</w:t>
      </w:r>
      <w:r w:rsidRPr="004009B8">
        <w:rPr>
          <w:rFonts w:ascii="Arimo" w:eastAsia="Times New Roman" w:hAnsi="Arimo" w:cs="Times New Roman"/>
          <w:sz w:val="24"/>
          <w:szCs w:val="24"/>
        </w:rPr>
        <w:t xml:space="preserve"> TRIPOD+AI item-level reporting checklist (DOCX).</w:t>
      </w:r>
    </w:p>
    <w:p w:rsidR="004009B8" w:rsidRPr="004009B8" w:rsidRDefault="004009B8" w:rsidP="004009B8">
      <w:pPr>
        <w:numPr>
          <w:ilvl w:val="0"/>
          <w:numId w:val="4"/>
        </w:num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b/>
          <w:bCs/>
          <w:sz w:val="24"/>
          <w:szCs w:val="24"/>
        </w:rPr>
        <w:t>Additional file 4.</w:t>
      </w:r>
      <w:r w:rsidRPr="004009B8">
        <w:rPr>
          <w:rFonts w:ascii="Arimo" w:eastAsia="Times New Roman" w:hAnsi="Arimo" w:cs="Times New Roman"/>
          <w:sz w:val="24"/>
          <w:szCs w:val="24"/>
        </w:rPr>
        <w:t xml:space="preserve"> RECORD extension checklist and STROBE mapping (DOCX).</w:t>
      </w:r>
    </w:p>
    <w:p w:rsidR="004009B8" w:rsidRPr="004009B8" w:rsidRDefault="004009B8" w:rsidP="004009B8">
      <w:pPr>
        <w:numPr>
          <w:ilvl w:val="0"/>
          <w:numId w:val="4"/>
        </w:num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b/>
          <w:bCs/>
          <w:sz w:val="24"/>
          <w:szCs w:val="24"/>
        </w:rPr>
        <w:t>Additional file 5.</w:t>
      </w:r>
      <w:r w:rsidRPr="004009B8">
        <w:rPr>
          <w:rFonts w:ascii="Arimo" w:eastAsia="Times New Roman" w:hAnsi="Arimo" w:cs="Times New Roman"/>
          <w:sz w:val="24"/>
          <w:szCs w:val="24"/>
        </w:rPr>
        <w:t xml:space="preserve"> PROBAST+AI development and evaluation domain-level self-assessment (DOCX; not an item-by-item </w:t>
      </w:r>
      <w:proofErr w:type="spellStart"/>
      <w:r w:rsidRPr="004009B8">
        <w:rPr>
          <w:rFonts w:ascii="Arimo" w:eastAsia="Times New Roman" w:hAnsi="Arimo" w:cs="Times New Roman"/>
          <w:sz w:val="24"/>
          <w:szCs w:val="24"/>
        </w:rPr>
        <w:t>signalling</w:t>
      </w:r>
      <w:proofErr w:type="spellEnd"/>
      <w:r w:rsidRPr="004009B8">
        <w:rPr>
          <w:rFonts w:ascii="Arimo" w:eastAsia="Times New Roman" w:hAnsi="Arimo" w:cs="Times New Roman"/>
          <w:sz w:val="24"/>
          <w:szCs w:val="24"/>
        </w:rPr>
        <w:t>-question form).</w:t>
      </w:r>
    </w:p>
    <w:p w:rsidR="006012FE" w:rsidRPr="004009B8" w:rsidRDefault="006012FE">
      <w:pPr>
        <w:spacing w:after="240" w:line="336" w:lineRule="auto"/>
        <w:rPr>
          <w:rFonts w:ascii="Arimo" w:hAnsi="Arimo"/>
        </w:rPr>
      </w:pPr>
    </w:p>
    <w:p w:rsidR="006012FE" w:rsidRDefault="007619F7">
      <w:pPr>
        <w:spacing w:after="240" w:line="336" w:lineRule="auto"/>
      </w:pPr>
      <w:r>
        <w:rPr>
          <w:rFonts w:ascii="Arimo Bold" w:eastAsia="Arimo Bold" w:hAnsi="Arimo Bold" w:cs="Arimo Bold"/>
          <w:b/>
          <w:bCs/>
          <w:color w:val="000000"/>
          <w:sz w:val="42"/>
          <w:szCs w:val="42"/>
        </w:rPr>
        <w:t xml:space="preserve">References </w:t>
      </w:r>
    </w:p>
    <w:p w:rsidR="006012FE" w:rsidRDefault="007619F7">
      <w:pPr>
        <w:spacing w:after="60" w:line="336" w:lineRule="auto"/>
      </w:pPr>
      <w:r>
        <w:rPr>
          <w:rFonts w:ascii="Arimo" w:eastAsia="Arimo" w:hAnsi="Arimo" w:cs="Arimo"/>
          <w:color w:val="000000"/>
          <w:sz w:val="24"/>
          <w:szCs w:val="24"/>
        </w:rPr>
        <w:t xml:space="preserve">[1] Wei Q, Zhan J, Chen X, et al. Development and validation of an interpretable machine learning model for osteoporosis prediction using routine blood tests: a retrospective cohort study. BMC Med Inform </w:t>
      </w:r>
      <w:proofErr w:type="spellStart"/>
      <w:r>
        <w:rPr>
          <w:rFonts w:ascii="Arimo" w:eastAsia="Arimo" w:hAnsi="Arimo" w:cs="Arimo"/>
          <w:color w:val="000000"/>
          <w:sz w:val="24"/>
          <w:szCs w:val="24"/>
        </w:rPr>
        <w:t>Decis</w:t>
      </w:r>
      <w:proofErr w:type="spellEnd"/>
      <w:r>
        <w:rPr>
          <w:rFonts w:ascii="Arimo" w:eastAsia="Arimo" w:hAnsi="Arimo" w:cs="Arimo"/>
          <w:color w:val="000000"/>
          <w:sz w:val="24"/>
          <w:szCs w:val="24"/>
        </w:rPr>
        <w:t xml:space="preserve"> </w:t>
      </w:r>
      <w:proofErr w:type="spellStart"/>
      <w:r>
        <w:rPr>
          <w:rFonts w:ascii="Arimo" w:eastAsia="Arimo" w:hAnsi="Arimo" w:cs="Arimo"/>
          <w:color w:val="000000"/>
          <w:sz w:val="24"/>
          <w:szCs w:val="24"/>
        </w:rPr>
        <w:t>Mak</w:t>
      </w:r>
      <w:proofErr w:type="spellEnd"/>
      <w:r>
        <w:rPr>
          <w:rFonts w:ascii="Arimo" w:eastAsia="Arimo" w:hAnsi="Arimo" w:cs="Arimo"/>
          <w:color w:val="000000"/>
          <w:sz w:val="24"/>
          <w:szCs w:val="24"/>
        </w:rPr>
        <w:t xml:space="preserve">. </w:t>
      </w:r>
      <w:proofErr w:type="gramStart"/>
      <w:r>
        <w:rPr>
          <w:rFonts w:ascii="Arimo" w:eastAsia="Arimo" w:hAnsi="Arimo" w:cs="Arimo"/>
          <w:color w:val="000000"/>
          <w:sz w:val="24"/>
          <w:szCs w:val="24"/>
        </w:rPr>
        <w:t>2025;25:446</w:t>
      </w:r>
      <w:proofErr w:type="gramEnd"/>
      <w:r>
        <w:rPr>
          <w:rFonts w:ascii="Arimo" w:eastAsia="Arimo" w:hAnsi="Arimo" w:cs="Arimo"/>
          <w:color w:val="000000"/>
          <w:sz w:val="24"/>
          <w:szCs w:val="24"/>
        </w:rPr>
        <w:t xml:space="preserve">. doi:10.1186/s12911-025-03292-1. </w:t>
      </w:r>
    </w:p>
    <w:p w:rsidR="006012FE" w:rsidRDefault="007619F7">
      <w:pPr>
        <w:spacing w:after="60" w:line="336" w:lineRule="auto"/>
      </w:pPr>
      <w:r>
        <w:rPr>
          <w:rFonts w:ascii="Arimo" w:eastAsia="Arimo" w:hAnsi="Arimo" w:cs="Arimo"/>
          <w:color w:val="000000"/>
          <w:sz w:val="24"/>
          <w:szCs w:val="24"/>
        </w:rPr>
        <w:t xml:space="preserve">[2] Li B, Wu D, Kong X, Shi Y, Gao C, Li Y. Application of machine learning on health examination data for predicting the decrease of bone mineral density. </w:t>
      </w:r>
      <w:proofErr w:type="spellStart"/>
      <w:r>
        <w:rPr>
          <w:rFonts w:ascii="Arimo" w:eastAsia="Arimo" w:hAnsi="Arimo" w:cs="Arimo"/>
          <w:color w:val="000000"/>
          <w:sz w:val="24"/>
          <w:szCs w:val="24"/>
        </w:rPr>
        <w:t>Int</w:t>
      </w:r>
      <w:proofErr w:type="spellEnd"/>
      <w:r>
        <w:rPr>
          <w:rFonts w:ascii="Arimo" w:eastAsia="Arimo" w:hAnsi="Arimo" w:cs="Arimo"/>
          <w:color w:val="000000"/>
          <w:sz w:val="24"/>
          <w:szCs w:val="24"/>
        </w:rPr>
        <w:t xml:space="preserve"> J </w:t>
      </w:r>
      <w:proofErr w:type="spellStart"/>
      <w:r>
        <w:rPr>
          <w:rFonts w:ascii="Arimo" w:eastAsia="Arimo" w:hAnsi="Arimo" w:cs="Arimo"/>
          <w:color w:val="000000"/>
          <w:sz w:val="24"/>
          <w:szCs w:val="24"/>
        </w:rPr>
        <w:t>Clin</w:t>
      </w:r>
      <w:proofErr w:type="spellEnd"/>
      <w:r>
        <w:rPr>
          <w:rFonts w:ascii="Arimo" w:eastAsia="Arimo" w:hAnsi="Arimo" w:cs="Arimo"/>
          <w:color w:val="000000"/>
          <w:sz w:val="24"/>
          <w:szCs w:val="24"/>
        </w:rPr>
        <w:t xml:space="preserve"> </w:t>
      </w:r>
      <w:proofErr w:type="spellStart"/>
      <w:r>
        <w:rPr>
          <w:rFonts w:ascii="Arimo" w:eastAsia="Arimo" w:hAnsi="Arimo" w:cs="Arimo"/>
          <w:color w:val="000000"/>
          <w:sz w:val="24"/>
          <w:szCs w:val="24"/>
        </w:rPr>
        <w:t>Exp</w:t>
      </w:r>
      <w:proofErr w:type="spellEnd"/>
      <w:r>
        <w:rPr>
          <w:rFonts w:ascii="Arimo" w:eastAsia="Arimo" w:hAnsi="Arimo" w:cs="Arimo"/>
          <w:color w:val="000000"/>
          <w:sz w:val="24"/>
          <w:szCs w:val="24"/>
        </w:rPr>
        <w:t xml:space="preserve"> </w:t>
      </w:r>
      <w:proofErr w:type="spellStart"/>
      <w:r>
        <w:rPr>
          <w:rFonts w:ascii="Arimo" w:eastAsia="Arimo" w:hAnsi="Arimo" w:cs="Arimo"/>
          <w:color w:val="000000"/>
          <w:sz w:val="24"/>
          <w:szCs w:val="24"/>
        </w:rPr>
        <w:t>Pathol</w:t>
      </w:r>
      <w:proofErr w:type="spellEnd"/>
      <w:r>
        <w:rPr>
          <w:rFonts w:ascii="Arimo" w:eastAsia="Arimo" w:hAnsi="Arimo" w:cs="Arimo"/>
          <w:color w:val="000000"/>
          <w:sz w:val="24"/>
          <w:szCs w:val="24"/>
        </w:rPr>
        <w:t xml:space="preserve">. 2025;18(10):524–534. doi:10.62347/ANWP5930. </w:t>
      </w:r>
    </w:p>
    <w:p w:rsidR="006012FE" w:rsidRDefault="007619F7">
      <w:pPr>
        <w:spacing w:after="60" w:line="336" w:lineRule="auto"/>
      </w:pPr>
      <w:r>
        <w:rPr>
          <w:rFonts w:ascii="Arimo" w:eastAsia="Arimo" w:hAnsi="Arimo" w:cs="Arimo"/>
          <w:color w:val="000000"/>
          <w:sz w:val="24"/>
          <w:szCs w:val="24"/>
        </w:rPr>
        <w:t xml:space="preserve">[3] Wei Y, Tao J, </w:t>
      </w:r>
      <w:proofErr w:type="spellStart"/>
      <w:r>
        <w:rPr>
          <w:rFonts w:ascii="Arimo" w:eastAsia="Arimo" w:hAnsi="Arimo" w:cs="Arimo"/>
          <w:color w:val="000000"/>
          <w:sz w:val="24"/>
          <w:szCs w:val="24"/>
        </w:rPr>
        <w:t>Geng</w:t>
      </w:r>
      <w:proofErr w:type="spellEnd"/>
      <w:r>
        <w:rPr>
          <w:rFonts w:ascii="Arimo" w:eastAsia="Arimo" w:hAnsi="Arimo" w:cs="Arimo"/>
          <w:color w:val="000000"/>
          <w:sz w:val="24"/>
          <w:szCs w:val="24"/>
        </w:rPr>
        <w:t xml:space="preserve"> Y, Ning Y, Li W, Bi B. Application of machine learning algorithms in predicting carotid artery plaques using routine health assessments. Front </w:t>
      </w:r>
      <w:proofErr w:type="spellStart"/>
      <w:r>
        <w:rPr>
          <w:rFonts w:ascii="Arimo" w:eastAsia="Arimo" w:hAnsi="Arimo" w:cs="Arimo"/>
          <w:color w:val="000000"/>
          <w:sz w:val="24"/>
          <w:szCs w:val="24"/>
        </w:rPr>
        <w:t>Cardiovasc</w:t>
      </w:r>
      <w:proofErr w:type="spellEnd"/>
      <w:r>
        <w:rPr>
          <w:rFonts w:ascii="Arimo" w:eastAsia="Arimo" w:hAnsi="Arimo" w:cs="Arimo"/>
          <w:color w:val="000000"/>
          <w:sz w:val="24"/>
          <w:szCs w:val="24"/>
        </w:rPr>
        <w:t xml:space="preserve"> Med. </w:t>
      </w:r>
      <w:proofErr w:type="gramStart"/>
      <w:r>
        <w:rPr>
          <w:rFonts w:ascii="Arimo" w:eastAsia="Arimo" w:hAnsi="Arimo" w:cs="Arimo"/>
          <w:color w:val="000000"/>
          <w:sz w:val="24"/>
          <w:szCs w:val="24"/>
        </w:rPr>
        <w:t>2024;11:1454642</w:t>
      </w:r>
      <w:proofErr w:type="gramEnd"/>
      <w:r>
        <w:rPr>
          <w:rFonts w:ascii="Arimo" w:eastAsia="Arimo" w:hAnsi="Arimo" w:cs="Arimo"/>
          <w:color w:val="000000"/>
          <w:sz w:val="24"/>
          <w:szCs w:val="24"/>
        </w:rPr>
        <w:t xml:space="preserve">. doi:10.3389/fcvm.2024.1454642. </w:t>
      </w:r>
    </w:p>
    <w:p w:rsidR="006012FE" w:rsidRDefault="007619F7">
      <w:pPr>
        <w:spacing w:after="60" w:line="336" w:lineRule="auto"/>
      </w:pPr>
      <w:r>
        <w:rPr>
          <w:rFonts w:ascii="Arimo" w:eastAsia="Arimo" w:hAnsi="Arimo" w:cs="Arimo"/>
          <w:color w:val="000000"/>
          <w:sz w:val="24"/>
          <w:szCs w:val="24"/>
        </w:rPr>
        <w:t xml:space="preserve">[4] </w:t>
      </w:r>
      <w:proofErr w:type="spellStart"/>
      <w:r>
        <w:rPr>
          <w:rFonts w:ascii="Arimo" w:eastAsia="Arimo" w:hAnsi="Arimo" w:cs="Arimo"/>
          <w:color w:val="000000"/>
          <w:sz w:val="24"/>
          <w:szCs w:val="24"/>
        </w:rPr>
        <w:t>Steyerberg</w:t>
      </w:r>
      <w:proofErr w:type="spellEnd"/>
      <w:r>
        <w:rPr>
          <w:rFonts w:ascii="Arimo" w:eastAsia="Arimo" w:hAnsi="Arimo" w:cs="Arimo"/>
          <w:color w:val="000000"/>
          <w:sz w:val="24"/>
          <w:szCs w:val="24"/>
        </w:rPr>
        <w:t xml:space="preserve"> EW, Harrell FE Jr. Prediction models need appropriate internal, internal–external, and external validation. J </w:t>
      </w:r>
      <w:proofErr w:type="spellStart"/>
      <w:r>
        <w:rPr>
          <w:rFonts w:ascii="Arimo" w:eastAsia="Arimo" w:hAnsi="Arimo" w:cs="Arimo"/>
          <w:color w:val="000000"/>
          <w:sz w:val="24"/>
          <w:szCs w:val="24"/>
        </w:rPr>
        <w:t>Clin</w:t>
      </w:r>
      <w:proofErr w:type="spellEnd"/>
      <w:r>
        <w:rPr>
          <w:rFonts w:ascii="Arimo" w:eastAsia="Arimo" w:hAnsi="Arimo" w:cs="Arimo"/>
          <w:color w:val="000000"/>
          <w:sz w:val="24"/>
          <w:szCs w:val="24"/>
        </w:rPr>
        <w:t xml:space="preserve"> </w:t>
      </w:r>
      <w:proofErr w:type="spellStart"/>
      <w:r>
        <w:rPr>
          <w:rFonts w:ascii="Arimo" w:eastAsia="Arimo" w:hAnsi="Arimo" w:cs="Arimo"/>
          <w:color w:val="000000"/>
          <w:sz w:val="24"/>
          <w:szCs w:val="24"/>
        </w:rPr>
        <w:t>Epidemiol</w:t>
      </w:r>
      <w:proofErr w:type="spellEnd"/>
      <w:r>
        <w:rPr>
          <w:rFonts w:ascii="Arimo" w:eastAsia="Arimo" w:hAnsi="Arimo" w:cs="Arimo"/>
          <w:color w:val="000000"/>
          <w:sz w:val="24"/>
          <w:szCs w:val="24"/>
        </w:rPr>
        <w:t xml:space="preserve">. </w:t>
      </w:r>
      <w:proofErr w:type="gramStart"/>
      <w:r>
        <w:rPr>
          <w:rFonts w:ascii="Arimo" w:eastAsia="Arimo" w:hAnsi="Arimo" w:cs="Arimo"/>
          <w:color w:val="000000"/>
          <w:sz w:val="24"/>
          <w:szCs w:val="24"/>
        </w:rPr>
        <w:t>2016;69:245</w:t>
      </w:r>
      <w:proofErr w:type="gramEnd"/>
      <w:r>
        <w:rPr>
          <w:rFonts w:ascii="Arimo" w:eastAsia="Arimo" w:hAnsi="Arimo" w:cs="Arimo"/>
          <w:color w:val="000000"/>
          <w:sz w:val="24"/>
          <w:szCs w:val="24"/>
        </w:rPr>
        <w:t xml:space="preserve">–247. </w:t>
      </w:r>
      <w:proofErr w:type="gramStart"/>
      <w:r>
        <w:rPr>
          <w:rFonts w:ascii="Arimo" w:eastAsia="Arimo" w:hAnsi="Arimo" w:cs="Arimo"/>
          <w:color w:val="000000"/>
          <w:sz w:val="24"/>
          <w:szCs w:val="24"/>
        </w:rPr>
        <w:t>doi:10.1016/j.jclinepi</w:t>
      </w:r>
      <w:proofErr w:type="gramEnd"/>
      <w:r>
        <w:rPr>
          <w:rFonts w:ascii="Arimo" w:eastAsia="Arimo" w:hAnsi="Arimo" w:cs="Arimo"/>
          <w:color w:val="000000"/>
          <w:sz w:val="24"/>
          <w:szCs w:val="24"/>
        </w:rPr>
        <w:t xml:space="preserve">.2015.04.005. </w:t>
      </w:r>
    </w:p>
    <w:p w:rsidR="006012FE" w:rsidRDefault="007619F7">
      <w:pPr>
        <w:spacing w:after="60" w:line="336" w:lineRule="auto"/>
      </w:pPr>
      <w:r>
        <w:rPr>
          <w:rFonts w:ascii="Arimo" w:eastAsia="Arimo" w:hAnsi="Arimo" w:cs="Arimo"/>
          <w:color w:val="000000"/>
          <w:sz w:val="24"/>
          <w:szCs w:val="24"/>
        </w:rPr>
        <w:t xml:space="preserve">[5] Van </w:t>
      </w:r>
      <w:proofErr w:type="spellStart"/>
      <w:r>
        <w:rPr>
          <w:rFonts w:ascii="Arimo" w:eastAsia="Arimo" w:hAnsi="Arimo" w:cs="Arimo"/>
          <w:color w:val="000000"/>
          <w:sz w:val="24"/>
          <w:szCs w:val="24"/>
        </w:rPr>
        <w:t>Calster</w:t>
      </w:r>
      <w:proofErr w:type="spellEnd"/>
      <w:r>
        <w:rPr>
          <w:rFonts w:ascii="Arimo" w:eastAsia="Arimo" w:hAnsi="Arimo" w:cs="Arimo"/>
          <w:color w:val="000000"/>
          <w:sz w:val="24"/>
          <w:szCs w:val="24"/>
        </w:rPr>
        <w:t xml:space="preserve"> B, </w:t>
      </w:r>
      <w:proofErr w:type="spellStart"/>
      <w:r>
        <w:rPr>
          <w:rFonts w:ascii="Arimo" w:eastAsia="Arimo" w:hAnsi="Arimo" w:cs="Arimo"/>
          <w:color w:val="000000"/>
          <w:sz w:val="24"/>
          <w:szCs w:val="24"/>
        </w:rPr>
        <w:t>McLernon</w:t>
      </w:r>
      <w:proofErr w:type="spellEnd"/>
      <w:r>
        <w:rPr>
          <w:rFonts w:ascii="Arimo" w:eastAsia="Arimo" w:hAnsi="Arimo" w:cs="Arimo"/>
          <w:color w:val="000000"/>
          <w:sz w:val="24"/>
          <w:szCs w:val="24"/>
        </w:rPr>
        <w:t xml:space="preserve"> DJ, van </w:t>
      </w:r>
      <w:proofErr w:type="spellStart"/>
      <w:r>
        <w:rPr>
          <w:rFonts w:ascii="Arimo" w:eastAsia="Arimo" w:hAnsi="Arimo" w:cs="Arimo"/>
          <w:color w:val="000000"/>
          <w:sz w:val="24"/>
          <w:szCs w:val="24"/>
        </w:rPr>
        <w:t>Smeden</w:t>
      </w:r>
      <w:proofErr w:type="spellEnd"/>
      <w:r>
        <w:rPr>
          <w:rFonts w:ascii="Arimo" w:eastAsia="Arimo" w:hAnsi="Arimo" w:cs="Arimo"/>
          <w:color w:val="000000"/>
          <w:sz w:val="24"/>
          <w:szCs w:val="24"/>
        </w:rPr>
        <w:t xml:space="preserve"> M, </w:t>
      </w:r>
      <w:proofErr w:type="spellStart"/>
      <w:r>
        <w:rPr>
          <w:rFonts w:ascii="Arimo" w:eastAsia="Arimo" w:hAnsi="Arimo" w:cs="Arimo"/>
          <w:color w:val="000000"/>
          <w:sz w:val="24"/>
          <w:szCs w:val="24"/>
        </w:rPr>
        <w:t>Wynants</w:t>
      </w:r>
      <w:proofErr w:type="spellEnd"/>
      <w:r>
        <w:rPr>
          <w:rFonts w:ascii="Arimo" w:eastAsia="Arimo" w:hAnsi="Arimo" w:cs="Arimo"/>
          <w:color w:val="000000"/>
          <w:sz w:val="24"/>
          <w:szCs w:val="24"/>
        </w:rPr>
        <w:t xml:space="preserve"> L, </w:t>
      </w:r>
      <w:proofErr w:type="spellStart"/>
      <w:r>
        <w:rPr>
          <w:rFonts w:ascii="Arimo" w:eastAsia="Arimo" w:hAnsi="Arimo" w:cs="Arimo"/>
          <w:color w:val="000000"/>
          <w:sz w:val="24"/>
          <w:szCs w:val="24"/>
        </w:rPr>
        <w:t>Steyerberg</w:t>
      </w:r>
      <w:proofErr w:type="spellEnd"/>
      <w:r>
        <w:rPr>
          <w:rFonts w:ascii="Arimo" w:eastAsia="Arimo" w:hAnsi="Arimo" w:cs="Arimo"/>
          <w:color w:val="000000"/>
          <w:sz w:val="24"/>
          <w:szCs w:val="24"/>
        </w:rPr>
        <w:t xml:space="preserve"> EW; STRATOS Topic Group. Calibration: </w:t>
      </w:r>
      <w:proofErr w:type="gramStart"/>
      <w:r>
        <w:rPr>
          <w:rFonts w:ascii="Arimo" w:eastAsia="Arimo" w:hAnsi="Arimo" w:cs="Arimo"/>
          <w:color w:val="000000"/>
          <w:sz w:val="24"/>
          <w:szCs w:val="24"/>
        </w:rPr>
        <w:t>the</w:t>
      </w:r>
      <w:proofErr w:type="gramEnd"/>
      <w:r>
        <w:rPr>
          <w:rFonts w:ascii="Arimo" w:eastAsia="Arimo" w:hAnsi="Arimo" w:cs="Arimo"/>
          <w:color w:val="000000"/>
          <w:sz w:val="24"/>
          <w:szCs w:val="24"/>
        </w:rPr>
        <w:t xml:space="preserve"> Achilles heel of predictive analytics. BMC Med. </w:t>
      </w:r>
      <w:proofErr w:type="gramStart"/>
      <w:r>
        <w:rPr>
          <w:rFonts w:ascii="Arimo" w:eastAsia="Arimo" w:hAnsi="Arimo" w:cs="Arimo"/>
          <w:color w:val="000000"/>
          <w:sz w:val="24"/>
          <w:szCs w:val="24"/>
        </w:rPr>
        <w:t>2019;17:230</w:t>
      </w:r>
      <w:proofErr w:type="gramEnd"/>
      <w:r>
        <w:rPr>
          <w:rFonts w:ascii="Arimo" w:eastAsia="Arimo" w:hAnsi="Arimo" w:cs="Arimo"/>
          <w:color w:val="000000"/>
          <w:sz w:val="24"/>
          <w:szCs w:val="24"/>
        </w:rPr>
        <w:t xml:space="preserve">. doi:10.1186/s12916-019-1466-7. </w:t>
      </w:r>
    </w:p>
    <w:p w:rsidR="006012FE" w:rsidRDefault="007619F7">
      <w:pPr>
        <w:spacing w:after="60" w:line="336" w:lineRule="auto"/>
      </w:pPr>
      <w:r>
        <w:rPr>
          <w:rFonts w:ascii="Arimo" w:eastAsia="Arimo" w:hAnsi="Arimo" w:cs="Arimo"/>
          <w:color w:val="000000"/>
          <w:sz w:val="24"/>
          <w:szCs w:val="24"/>
        </w:rPr>
        <w:lastRenderedPageBreak/>
        <w:t xml:space="preserve">[6] Vickers AJ, Elkin EB. Decision curve analysis: a novel method for evaluating prediction models. Med </w:t>
      </w:r>
      <w:proofErr w:type="spellStart"/>
      <w:r>
        <w:rPr>
          <w:rFonts w:ascii="Arimo" w:eastAsia="Arimo" w:hAnsi="Arimo" w:cs="Arimo"/>
          <w:color w:val="000000"/>
          <w:sz w:val="24"/>
          <w:szCs w:val="24"/>
        </w:rPr>
        <w:t>Decis</w:t>
      </w:r>
      <w:proofErr w:type="spellEnd"/>
      <w:r>
        <w:rPr>
          <w:rFonts w:ascii="Arimo" w:eastAsia="Arimo" w:hAnsi="Arimo" w:cs="Arimo"/>
          <w:color w:val="000000"/>
          <w:sz w:val="24"/>
          <w:szCs w:val="24"/>
        </w:rPr>
        <w:t xml:space="preserve"> Making. 2006;26(6):565–574. doi:10.1177/0272989X06295361. </w:t>
      </w:r>
    </w:p>
    <w:p w:rsidR="006012FE" w:rsidRDefault="007619F7">
      <w:pPr>
        <w:spacing w:after="60" w:line="336" w:lineRule="auto"/>
      </w:pPr>
      <w:r>
        <w:rPr>
          <w:rFonts w:ascii="Arimo" w:eastAsia="Arimo" w:hAnsi="Arimo" w:cs="Arimo"/>
          <w:color w:val="000000"/>
          <w:sz w:val="24"/>
          <w:szCs w:val="24"/>
        </w:rPr>
        <w:t xml:space="preserve">[7] </w:t>
      </w:r>
      <w:proofErr w:type="spellStart"/>
      <w:r>
        <w:rPr>
          <w:rFonts w:ascii="Arimo" w:eastAsia="Arimo" w:hAnsi="Arimo" w:cs="Arimo"/>
          <w:color w:val="000000"/>
          <w:sz w:val="24"/>
          <w:szCs w:val="24"/>
        </w:rPr>
        <w:t>Subbaswamy</w:t>
      </w:r>
      <w:proofErr w:type="spellEnd"/>
      <w:r>
        <w:rPr>
          <w:rFonts w:ascii="Arimo" w:eastAsia="Arimo" w:hAnsi="Arimo" w:cs="Arimo"/>
          <w:color w:val="000000"/>
          <w:sz w:val="24"/>
          <w:szCs w:val="24"/>
        </w:rPr>
        <w:t xml:space="preserve"> A, Saria S. From development to deployment: dataset shift, causality, and shift-stable models in health AI. Biostatistics. 2020;21(2):345–352. doi:10.1093/biostatistics/kxz041. </w:t>
      </w:r>
    </w:p>
    <w:p w:rsidR="006012FE" w:rsidRDefault="007619F7">
      <w:pPr>
        <w:spacing w:after="60" w:line="336" w:lineRule="auto"/>
      </w:pPr>
      <w:r>
        <w:rPr>
          <w:rFonts w:ascii="Arimo" w:eastAsia="Arimo" w:hAnsi="Arimo" w:cs="Arimo"/>
          <w:color w:val="000000"/>
          <w:sz w:val="24"/>
          <w:szCs w:val="24"/>
        </w:rPr>
        <w:t xml:space="preserve">[8] </w:t>
      </w:r>
      <w:proofErr w:type="spellStart"/>
      <w:r>
        <w:rPr>
          <w:rFonts w:ascii="Arimo" w:eastAsia="Arimo" w:hAnsi="Arimo" w:cs="Arimo"/>
          <w:color w:val="000000"/>
          <w:sz w:val="24"/>
          <w:szCs w:val="24"/>
        </w:rPr>
        <w:t>Debray</w:t>
      </w:r>
      <w:proofErr w:type="spellEnd"/>
      <w:r>
        <w:rPr>
          <w:rFonts w:ascii="Arimo" w:eastAsia="Arimo" w:hAnsi="Arimo" w:cs="Arimo"/>
          <w:color w:val="000000"/>
          <w:sz w:val="24"/>
          <w:szCs w:val="24"/>
        </w:rPr>
        <w:t xml:space="preserve"> TPA, </w:t>
      </w:r>
      <w:proofErr w:type="spellStart"/>
      <w:r>
        <w:rPr>
          <w:rFonts w:ascii="Arimo" w:eastAsia="Arimo" w:hAnsi="Arimo" w:cs="Arimo"/>
          <w:color w:val="000000"/>
          <w:sz w:val="24"/>
          <w:szCs w:val="24"/>
        </w:rPr>
        <w:t>Vergouwe</w:t>
      </w:r>
      <w:proofErr w:type="spellEnd"/>
      <w:r>
        <w:rPr>
          <w:rFonts w:ascii="Arimo" w:eastAsia="Arimo" w:hAnsi="Arimo" w:cs="Arimo"/>
          <w:color w:val="000000"/>
          <w:sz w:val="24"/>
          <w:szCs w:val="24"/>
        </w:rPr>
        <w:t xml:space="preserve"> Y, </w:t>
      </w:r>
      <w:proofErr w:type="spellStart"/>
      <w:r>
        <w:rPr>
          <w:rFonts w:ascii="Arimo" w:eastAsia="Arimo" w:hAnsi="Arimo" w:cs="Arimo"/>
          <w:color w:val="000000"/>
          <w:sz w:val="24"/>
          <w:szCs w:val="24"/>
        </w:rPr>
        <w:t>Koffijberg</w:t>
      </w:r>
      <w:proofErr w:type="spellEnd"/>
      <w:r>
        <w:rPr>
          <w:rFonts w:ascii="Arimo" w:eastAsia="Arimo" w:hAnsi="Arimo" w:cs="Arimo"/>
          <w:color w:val="000000"/>
          <w:sz w:val="24"/>
          <w:szCs w:val="24"/>
        </w:rPr>
        <w:t xml:space="preserve"> H, </w:t>
      </w:r>
      <w:proofErr w:type="spellStart"/>
      <w:r>
        <w:rPr>
          <w:rFonts w:ascii="Arimo" w:eastAsia="Arimo" w:hAnsi="Arimo" w:cs="Arimo"/>
          <w:color w:val="000000"/>
          <w:sz w:val="24"/>
          <w:szCs w:val="24"/>
        </w:rPr>
        <w:t>Nieboer</w:t>
      </w:r>
      <w:proofErr w:type="spellEnd"/>
      <w:r>
        <w:rPr>
          <w:rFonts w:ascii="Arimo" w:eastAsia="Arimo" w:hAnsi="Arimo" w:cs="Arimo"/>
          <w:color w:val="000000"/>
          <w:sz w:val="24"/>
          <w:szCs w:val="24"/>
        </w:rPr>
        <w:t xml:space="preserve"> D, </w:t>
      </w:r>
      <w:proofErr w:type="spellStart"/>
      <w:r>
        <w:rPr>
          <w:rFonts w:ascii="Arimo" w:eastAsia="Arimo" w:hAnsi="Arimo" w:cs="Arimo"/>
          <w:color w:val="000000"/>
          <w:sz w:val="24"/>
          <w:szCs w:val="24"/>
        </w:rPr>
        <w:t>Steyerberg</w:t>
      </w:r>
      <w:proofErr w:type="spellEnd"/>
      <w:r>
        <w:rPr>
          <w:rFonts w:ascii="Arimo" w:eastAsia="Arimo" w:hAnsi="Arimo" w:cs="Arimo"/>
          <w:color w:val="000000"/>
          <w:sz w:val="24"/>
          <w:szCs w:val="24"/>
        </w:rPr>
        <w:t xml:space="preserve"> EW, Moons KGM. A new framework to enhance the interpretation of external validation studies of clinical prediction models. J </w:t>
      </w:r>
      <w:proofErr w:type="spellStart"/>
      <w:r>
        <w:rPr>
          <w:rFonts w:ascii="Arimo" w:eastAsia="Arimo" w:hAnsi="Arimo" w:cs="Arimo"/>
          <w:color w:val="000000"/>
          <w:sz w:val="24"/>
          <w:szCs w:val="24"/>
        </w:rPr>
        <w:t>Clin</w:t>
      </w:r>
      <w:proofErr w:type="spellEnd"/>
      <w:r>
        <w:rPr>
          <w:rFonts w:ascii="Arimo" w:eastAsia="Arimo" w:hAnsi="Arimo" w:cs="Arimo"/>
          <w:color w:val="000000"/>
          <w:sz w:val="24"/>
          <w:szCs w:val="24"/>
        </w:rPr>
        <w:t xml:space="preserve"> </w:t>
      </w:r>
      <w:proofErr w:type="spellStart"/>
      <w:r>
        <w:rPr>
          <w:rFonts w:ascii="Arimo" w:eastAsia="Arimo" w:hAnsi="Arimo" w:cs="Arimo"/>
          <w:color w:val="000000"/>
          <w:sz w:val="24"/>
          <w:szCs w:val="24"/>
        </w:rPr>
        <w:t>Epidemiol</w:t>
      </w:r>
      <w:proofErr w:type="spellEnd"/>
      <w:r>
        <w:rPr>
          <w:rFonts w:ascii="Arimo" w:eastAsia="Arimo" w:hAnsi="Arimo" w:cs="Arimo"/>
          <w:color w:val="000000"/>
          <w:sz w:val="24"/>
          <w:szCs w:val="24"/>
        </w:rPr>
        <w:t xml:space="preserve">. 2015;68(3):279–289. </w:t>
      </w:r>
      <w:proofErr w:type="gramStart"/>
      <w:r>
        <w:rPr>
          <w:rFonts w:ascii="Arimo" w:eastAsia="Arimo" w:hAnsi="Arimo" w:cs="Arimo"/>
          <w:color w:val="000000"/>
          <w:sz w:val="24"/>
          <w:szCs w:val="24"/>
        </w:rPr>
        <w:t>doi:10.1016/j.jclinepi</w:t>
      </w:r>
      <w:proofErr w:type="gramEnd"/>
      <w:r>
        <w:rPr>
          <w:rFonts w:ascii="Arimo" w:eastAsia="Arimo" w:hAnsi="Arimo" w:cs="Arimo"/>
          <w:color w:val="000000"/>
          <w:sz w:val="24"/>
          <w:szCs w:val="24"/>
        </w:rPr>
        <w:t xml:space="preserve">.2014.06.018. </w:t>
      </w:r>
    </w:p>
    <w:p w:rsidR="006012FE" w:rsidRDefault="007619F7">
      <w:pPr>
        <w:spacing w:after="60" w:line="336" w:lineRule="auto"/>
      </w:pPr>
      <w:r>
        <w:rPr>
          <w:rFonts w:ascii="Arimo" w:eastAsia="Arimo" w:hAnsi="Arimo" w:cs="Arimo"/>
          <w:color w:val="000000"/>
          <w:sz w:val="24"/>
          <w:szCs w:val="24"/>
        </w:rPr>
        <w:t xml:space="preserve">[9] Collins GS, Moons KGM, </w:t>
      </w:r>
      <w:proofErr w:type="spellStart"/>
      <w:r>
        <w:rPr>
          <w:rFonts w:ascii="Arimo" w:eastAsia="Arimo" w:hAnsi="Arimo" w:cs="Arimo"/>
          <w:color w:val="000000"/>
          <w:sz w:val="24"/>
          <w:szCs w:val="24"/>
        </w:rPr>
        <w:t>Dhiman</w:t>
      </w:r>
      <w:proofErr w:type="spellEnd"/>
      <w:r>
        <w:rPr>
          <w:rFonts w:ascii="Arimo" w:eastAsia="Arimo" w:hAnsi="Arimo" w:cs="Arimo"/>
          <w:color w:val="000000"/>
          <w:sz w:val="24"/>
          <w:szCs w:val="24"/>
        </w:rPr>
        <w:t xml:space="preserve"> P, et al. TRIPOD+AI statement: updated guidance for reporting clinical prediction models that use regression or machine learning methods. BMJ. 2024;</w:t>
      </w:r>
      <w:proofErr w:type="gramStart"/>
      <w:r>
        <w:rPr>
          <w:rFonts w:ascii="Arimo" w:eastAsia="Arimo" w:hAnsi="Arimo" w:cs="Arimo"/>
          <w:color w:val="000000"/>
          <w:sz w:val="24"/>
          <w:szCs w:val="24"/>
        </w:rPr>
        <w:t>385:e</w:t>
      </w:r>
      <w:proofErr w:type="gramEnd"/>
      <w:r>
        <w:rPr>
          <w:rFonts w:ascii="Arimo" w:eastAsia="Arimo" w:hAnsi="Arimo" w:cs="Arimo"/>
          <w:color w:val="000000"/>
          <w:sz w:val="24"/>
          <w:szCs w:val="24"/>
        </w:rPr>
        <w:t xml:space="preserve">078378. doi:10.1136/bmj-2023-078378. </w:t>
      </w:r>
    </w:p>
    <w:p w:rsidR="006012FE" w:rsidRDefault="007619F7">
      <w:pPr>
        <w:spacing w:after="60" w:line="336" w:lineRule="auto"/>
      </w:pPr>
      <w:r>
        <w:rPr>
          <w:rFonts w:ascii="Arimo" w:eastAsia="Arimo" w:hAnsi="Arimo" w:cs="Arimo"/>
          <w:color w:val="000000"/>
          <w:sz w:val="24"/>
          <w:szCs w:val="24"/>
        </w:rPr>
        <w:t xml:space="preserve">[10] </w:t>
      </w:r>
      <w:proofErr w:type="spellStart"/>
      <w:r>
        <w:rPr>
          <w:rFonts w:ascii="Arimo" w:eastAsia="Arimo" w:hAnsi="Arimo" w:cs="Arimo"/>
          <w:color w:val="000000"/>
          <w:sz w:val="24"/>
          <w:szCs w:val="24"/>
        </w:rPr>
        <w:t>Benchimol</w:t>
      </w:r>
      <w:proofErr w:type="spellEnd"/>
      <w:r>
        <w:rPr>
          <w:rFonts w:ascii="Arimo" w:eastAsia="Arimo" w:hAnsi="Arimo" w:cs="Arimo"/>
          <w:color w:val="000000"/>
          <w:sz w:val="24"/>
          <w:szCs w:val="24"/>
        </w:rPr>
        <w:t xml:space="preserve"> EI, Smeeth L, Guttmann A, et al. The </w:t>
      </w:r>
      <w:proofErr w:type="spellStart"/>
      <w:r>
        <w:rPr>
          <w:rFonts w:ascii="Arimo" w:eastAsia="Arimo" w:hAnsi="Arimo" w:cs="Arimo"/>
          <w:color w:val="000000"/>
          <w:sz w:val="24"/>
          <w:szCs w:val="24"/>
        </w:rPr>
        <w:t>REporting</w:t>
      </w:r>
      <w:proofErr w:type="spellEnd"/>
      <w:r>
        <w:rPr>
          <w:rFonts w:ascii="Arimo" w:eastAsia="Arimo" w:hAnsi="Arimo" w:cs="Arimo"/>
          <w:color w:val="000000"/>
          <w:sz w:val="24"/>
          <w:szCs w:val="24"/>
        </w:rPr>
        <w:t xml:space="preserve"> of studies Conducted using Observational Routinely-collected health Data (RECORD) statement. </w:t>
      </w:r>
      <w:proofErr w:type="spellStart"/>
      <w:r>
        <w:rPr>
          <w:rFonts w:ascii="Arimo" w:eastAsia="Arimo" w:hAnsi="Arimo" w:cs="Arimo"/>
          <w:color w:val="000000"/>
          <w:sz w:val="24"/>
          <w:szCs w:val="24"/>
        </w:rPr>
        <w:t>PLoS</w:t>
      </w:r>
      <w:proofErr w:type="spellEnd"/>
      <w:r>
        <w:rPr>
          <w:rFonts w:ascii="Arimo" w:eastAsia="Arimo" w:hAnsi="Arimo" w:cs="Arimo"/>
          <w:color w:val="000000"/>
          <w:sz w:val="24"/>
          <w:szCs w:val="24"/>
        </w:rPr>
        <w:t xml:space="preserve"> Med. 2015;12(10</w:t>
      </w:r>
      <w:proofErr w:type="gramStart"/>
      <w:r>
        <w:rPr>
          <w:rFonts w:ascii="Arimo" w:eastAsia="Arimo" w:hAnsi="Arimo" w:cs="Arimo"/>
          <w:color w:val="000000"/>
          <w:sz w:val="24"/>
          <w:szCs w:val="24"/>
        </w:rPr>
        <w:t>):e</w:t>
      </w:r>
      <w:proofErr w:type="gramEnd"/>
      <w:r>
        <w:rPr>
          <w:rFonts w:ascii="Arimo" w:eastAsia="Arimo" w:hAnsi="Arimo" w:cs="Arimo"/>
          <w:color w:val="000000"/>
          <w:sz w:val="24"/>
          <w:szCs w:val="24"/>
        </w:rPr>
        <w:t xml:space="preserve">1001885. </w:t>
      </w:r>
      <w:proofErr w:type="gramStart"/>
      <w:r>
        <w:rPr>
          <w:rFonts w:ascii="Arimo" w:eastAsia="Arimo" w:hAnsi="Arimo" w:cs="Arimo"/>
          <w:color w:val="000000"/>
          <w:sz w:val="24"/>
          <w:szCs w:val="24"/>
        </w:rPr>
        <w:t>doi:10.1371/journal.pmed</w:t>
      </w:r>
      <w:proofErr w:type="gramEnd"/>
      <w:r>
        <w:rPr>
          <w:rFonts w:ascii="Arimo" w:eastAsia="Arimo" w:hAnsi="Arimo" w:cs="Arimo"/>
          <w:color w:val="000000"/>
          <w:sz w:val="24"/>
          <w:szCs w:val="24"/>
        </w:rPr>
        <w:t xml:space="preserve">.1001885. </w:t>
      </w:r>
    </w:p>
    <w:p w:rsidR="006012FE" w:rsidRDefault="007619F7">
      <w:pPr>
        <w:spacing w:after="60" w:line="336" w:lineRule="auto"/>
      </w:pPr>
      <w:r>
        <w:rPr>
          <w:rFonts w:ascii="Arimo" w:eastAsia="Arimo" w:hAnsi="Arimo" w:cs="Arimo"/>
          <w:color w:val="000000"/>
          <w:sz w:val="24"/>
          <w:szCs w:val="24"/>
        </w:rPr>
        <w:t xml:space="preserve">[11] Kessler RC, Barker PR, </w:t>
      </w:r>
      <w:proofErr w:type="spellStart"/>
      <w:r>
        <w:rPr>
          <w:rFonts w:ascii="Arimo" w:eastAsia="Arimo" w:hAnsi="Arimo" w:cs="Arimo"/>
          <w:color w:val="000000"/>
          <w:sz w:val="24"/>
          <w:szCs w:val="24"/>
        </w:rPr>
        <w:t>Colpe</w:t>
      </w:r>
      <w:proofErr w:type="spellEnd"/>
      <w:r>
        <w:rPr>
          <w:rFonts w:ascii="Arimo" w:eastAsia="Arimo" w:hAnsi="Arimo" w:cs="Arimo"/>
          <w:color w:val="000000"/>
          <w:sz w:val="24"/>
          <w:szCs w:val="24"/>
        </w:rPr>
        <w:t xml:space="preserve"> LJ, et al. Screening for serious mental illness in the general population. Arch Gen Psychiatry. 2003;60(2):184–189. doi:10.1001/archpsyc.60.2.184. </w:t>
      </w:r>
    </w:p>
    <w:p w:rsidR="006012FE" w:rsidRDefault="007619F7">
      <w:pPr>
        <w:spacing w:after="60" w:line="336" w:lineRule="auto"/>
      </w:pPr>
      <w:r>
        <w:rPr>
          <w:rFonts w:ascii="Arimo" w:eastAsia="Arimo" w:hAnsi="Arimo" w:cs="Arimo"/>
          <w:color w:val="000000"/>
          <w:sz w:val="24"/>
          <w:szCs w:val="24"/>
        </w:rPr>
        <w:t>[12] Friedman JH. Greedy function approximation: a gradient boosting machine. Ann Stat. 2001;29(5):1189–1232. doi:10.1214/</w:t>
      </w:r>
      <w:proofErr w:type="spellStart"/>
      <w:r>
        <w:rPr>
          <w:rFonts w:ascii="Arimo" w:eastAsia="Arimo" w:hAnsi="Arimo" w:cs="Arimo"/>
          <w:color w:val="000000"/>
          <w:sz w:val="24"/>
          <w:szCs w:val="24"/>
        </w:rPr>
        <w:t>aos</w:t>
      </w:r>
      <w:proofErr w:type="spellEnd"/>
      <w:r>
        <w:rPr>
          <w:rFonts w:ascii="Arimo" w:eastAsia="Arimo" w:hAnsi="Arimo" w:cs="Arimo"/>
          <w:color w:val="000000"/>
          <w:sz w:val="24"/>
          <w:szCs w:val="24"/>
        </w:rPr>
        <w:t xml:space="preserve">/1013203451. </w:t>
      </w:r>
    </w:p>
    <w:p w:rsidR="006012FE" w:rsidRDefault="007619F7">
      <w:pPr>
        <w:spacing w:after="60" w:line="336" w:lineRule="auto"/>
      </w:pPr>
      <w:r>
        <w:rPr>
          <w:rFonts w:ascii="Arimo" w:eastAsia="Arimo" w:hAnsi="Arimo" w:cs="Arimo"/>
          <w:color w:val="000000"/>
          <w:sz w:val="24"/>
          <w:szCs w:val="24"/>
        </w:rPr>
        <w:t xml:space="preserve">[13] Saito T, </w:t>
      </w:r>
      <w:proofErr w:type="spellStart"/>
      <w:r>
        <w:rPr>
          <w:rFonts w:ascii="Arimo" w:eastAsia="Arimo" w:hAnsi="Arimo" w:cs="Arimo"/>
          <w:color w:val="000000"/>
          <w:sz w:val="24"/>
          <w:szCs w:val="24"/>
        </w:rPr>
        <w:t>Rehmsmeier</w:t>
      </w:r>
      <w:proofErr w:type="spellEnd"/>
      <w:r>
        <w:rPr>
          <w:rFonts w:ascii="Arimo" w:eastAsia="Arimo" w:hAnsi="Arimo" w:cs="Arimo"/>
          <w:color w:val="000000"/>
          <w:sz w:val="24"/>
          <w:szCs w:val="24"/>
        </w:rPr>
        <w:t xml:space="preserve"> M. The precision-recall plot is more informative than the ROC plot when evaluating binary classifiers on imbalanced datasets. </w:t>
      </w:r>
      <w:proofErr w:type="spellStart"/>
      <w:r>
        <w:rPr>
          <w:rFonts w:ascii="Arimo" w:eastAsia="Arimo" w:hAnsi="Arimo" w:cs="Arimo"/>
          <w:color w:val="000000"/>
          <w:sz w:val="24"/>
          <w:szCs w:val="24"/>
        </w:rPr>
        <w:t>PLoS</w:t>
      </w:r>
      <w:proofErr w:type="spellEnd"/>
      <w:r>
        <w:rPr>
          <w:rFonts w:ascii="Arimo" w:eastAsia="Arimo" w:hAnsi="Arimo" w:cs="Arimo"/>
          <w:color w:val="000000"/>
          <w:sz w:val="24"/>
          <w:szCs w:val="24"/>
        </w:rPr>
        <w:t xml:space="preserve"> One. 2015;10(3</w:t>
      </w:r>
      <w:proofErr w:type="gramStart"/>
      <w:r>
        <w:rPr>
          <w:rFonts w:ascii="Arimo" w:eastAsia="Arimo" w:hAnsi="Arimo" w:cs="Arimo"/>
          <w:color w:val="000000"/>
          <w:sz w:val="24"/>
          <w:szCs w:val="24"/>
        </w:rPr>
        <w:t>):e</w:t>
      </w:r>
      <w:proofErr w:type="gramEnd"/>
      <w:r>
        <w:rPr>
          <w:rFonts w:ascii="Arimo" w:eastAsia="Arimo" w:hAnsi="Arimo" w:cs="Arimo"/>
          <w:color w:val="000000"/>
          <w:sz w:val="24"/>
          <w:szCs w:val="24"/>
        </w:rPr>
        <w:t xml:space="preserve">0118432. </w:t>
      </w:r>
      <w:proofErr w:type="gramStart"/>
      <w:r>
        <w:rPr>
          <w:rFonts w:ascii="Arimo" w:eastAsia="Arimo" w:hAnsi="Arimo" w:cs="Arimo"/>
          <w:color w:val="000000"/>
          <w:sz w:val="24"/>
          <w:szCs w:val="24"/>
        </w:rPr>
        <w:t>doi:10.1371/journal.pone</w:t>
      </w:r>
      <w:proofErr w:type="gramEnd"/>
      <w:r>
        <w:rPr>
          <w:rFonts w:ascii="Arimo" w:eastAsia="Arimo" w:hAnsi="Arimo" w:cs="Arimo"/>
          <w:color w:val="000000"/>
          <w:sz w:val="24"/>
          <w:szCs w:val="24"/>
        </w:rPr>
        <w:t xml:space="preserve">.0118432. </w:t>
      </w:r>
    </w:p>
    <w:p w:rsidR="006012FE" w:rsidRDefault="007619F7">
      <w:pPr>
        <w:spacing w:after="60" w:line="336" w:lineRule="auto"/>
      </w:pPr>
      <w:r>
        <w:rPr>
          <w:rFonts w:ascii="Arimo" w:eastAsia="Arimo" w:hAnsi="Arimo" w:cs="Arimo"/>
          <w:color w:val="000000"/>
          <w:sz w:val="24"/>
          <w:szCs w:val="24"/>
        </w:rPr>
        <w:t xml:space="preserve">[14] </w:t>
      </w:r>
      <w:proofErr w:type="spellStart"/>
      <w:r>
        <w:rPr>
          <w:rFonts w:ascii="Arimo" w:eastAsia="Arimo" w:hAnsi="Arimo" w:cs="Arimo"/>
          <w:color w:val="000000"/>
          <w:sz w:val="24"/>
          <w:szCs w:val="24"/>
        </w:rPr>
        <w:t>Begg</w:t>
      </w:r>
      <w:proofErr w:type="spellEnd"/>
      <w:r>
        <w:rPr>
          <w:rFonts w:ascii="Arimo" w:eastAsia="Arimo" w:hAnsi="Arimo" w:cs="Arimo"/>
          <w:color w:val="000000"/>
          <w:sz w:val="24"/>
          <w:szCs w:val="24"/>
        </w:rPr>
        <w:t xml:space="preserve"> CB, </w:t>
      </w:r>
      <w:proofErr w:type="spellStart"/>
      <w:r>
        <w:rPr>
          <w:rFonts w:ascii="Arimo" w:eastAsia="Arimo" w:hAnsi="Arimo" w:cs="Arimo"/>
          <w:color w:val="000000"/>
          <w:sz w:val="24"/>
          <w:szCs w:val="24"/>
        </w:rPr>
        <w:t>Greenes</w:t>
      </w:r>
      <w:proofErr w:type="spellEnd"/>
      <w:r>
        <w:rPr>
          <w:rFonts w:ascii="Arimo" w:eastAsia="Arimo" w:hAnsi="Arimo" w:cs="Arimo"/>
          <w:color w:val="000000"/>
          <w:sz w:val="24"/>
          <w:szCs w:val="24"/>
        </w:rPr>
        <w:t xml:space="preserve"> RA. Assessment of diagnostic tests when disease verification is subject to selection bias. Biometrics. 1983;39(1):207–215. doi:10.2307/2530820. </w:t>
      </w:r>
    </w:p>
    <w:p w:rsidR="006012FE" w:rsidRDefault="007619F7">
      <w:pPr>
        <w:spacing w:after="60" w:line="336" w:lineRule="auto"/>
      </w:pPr>
      <w:r>
        <w:rPr>
          <w:rFonts w:ascii="Arimo" w:eastAsia="Arimo" w:hAnsi="Arimo" w:cs="Arimo"/>
          <w:color w:val="000000"/>
          <w:sz w:val="24"/>
          <w:szCs w:val="24"/>
        </w:rPr>
        <w:t xml:space="preserve">[15] Li J, Yan XS, Chaudhary D, et al. Imputation of missing values for electronic health record laboratory data. </w:t>
      </w:r>
      <w:proofErr w:type="spellStart"/>
      <w:r>
        <w:rPr>
          <w:rFonts w:ascii="Arimo" w:eastAsia="Arimo" w:hAnsi="Arimo" w:cs="Arimo"/>
          <w:color w:val="000000"/>
          <w:sz w:val="24"/>
          <w:szCs w:val="24"/>
        </w:rPr>
        <w:t>npj</w:t>
      </w:r>
      <w:proofErr w:type="spellEnd"/>
      <w:r>
        <w:rPr>
          <w:rFonts w:ascii="Arimo" w:eastAsia="Arimo" w:hAnsi="Arimo" w:cs="Arimo"/>
          <w:color w:val="000000"/>
          <w:sz w:val="24"/>
          <w:szCs w:val="24"/>
        </w:rPr>
        <w:t xml:space="preserve"> Digit Med. </w:t>
      </w:r>
      <w:proofErr w:type="gramStart"/>
      <w:r>
        <w:rPr>
          <w:rFonts w:ascii="Arimo" w:eastAsia="Arimo" w:hAnsi="Arimo" w:cs="Arimo"/>
          <w:color w:val="000000"/>
          <w:sz w:val="24"/>
          <w:szCs w:val="24"/>
        </w:rPr>
        <w:t>2021;4:147</w:t>
      </w:r>
      <w:proofErr w:type="gramEnd"/>
      <w:r>
        <w:rPr>
          <w:rFonts w:ascii="Arimo" w:eastAsia="Arimo" w:hAnsi="Arimo" w:cs="Arimo"/>
          <w:color w:val="000000"/>
          <w:sz w:val="24"/>
          <w:szCs w:val="24"/>
        </w:rPr>
        <w:t xml:space="preserve">. doi:10.1038/s41746-021-00518-0. </w:t>
      </w:r>
    </w:p>
    <w:p w:rsidR="006012FE" w:rsidRDefault="007619F7">
      <w:pPr>
        <w:spacing w:after="60" w:line="336" w:lineRule="auto"/>
      </w:pPr>
      <w:r>
        <w:rPr>
          <w:rFonts w:ascii="Arimo" w:eastAsia="Arimo" w:hAnsi="Arimo" w:cs="Arimo"/>
          <w:color w:val="000000"/>
          <w:sz w:val="24"/>
          <w:szCs w:val="24"/>
        </w:rPr>
        <w:t xml:space="preserve">[16] International Society for Clinical Densitometry. Official Adult Positions, 2023. Available at: https://iscd.org/official-positions-2023/. Accessed 6 September 2026. </w:t>
      </w:r>
    </w:p>
    <w:p w:rsidR="006012FE" w:rsidRDefault="007619F7">
      <w:pPr>
        <w:spacing w:after="60" w:line="336" w:lineRule="auto"/>
      </w:pPr>
      <w:r>
        <w:rPr>
          <w:rFonts w:ascii="Arimo" w:eastAsia="Arimo" w:hAnsi="Arimo" w:cs="Arimo"/>
          <w:color w:val="000000"/>
          <w:sz w:val="24"/>
          <w:szCs w:val="24"/>
        </w:rPr>
        <w:lastRenderedPageBreak/>
        <w:t xml:space="preserve">[17] Vasey B, </w:t>
      </w:r>
      <w:proofErr w:type="spellStart"/>
      <w:r>
        <w:rPr>
          <w:rFonts w:ascii="Arimo" w:eastAsia="Arimo" w:hAnsi="Arimo" w:cs="Arimo"/>
          <w:color w:val="000000"/>
          <w:sz w:val="24"/>
          <w:szCs w:val="24"/>
        </w:rPr>
        <w:t>Nagendran</w:t>
      </w:r>
      <w:proofErr w:type="spellEnd"/>
      <w:r>
        <w:rPr>
          <w:rFonts w:ascii="Arimo" w:eastAsia="Arimo" w:hAnsi="Arimo" w:cs="Arimo"/>
          <w:color w:val="000000"/>
          <w:sz w:val="24"/>
          <w:szCs w:val="24"/>
        </w:rPr>
        <w:t xml:space="preserve"> M, Campbell B, et al. Reporting guideline for the early-stage clinical evaluation of decision support systems driven by artificial intelligence: DECIDE-AI. Nat Med. 2022;28(5):924–933. doi:10.1038/s41591-022-01772-9. </w:t>
      </w:r>
    </w:p>
    <w:p w:rsidR="006012FE" w:rsidRDefault="007619F7">
      <w:pPr>
        <w:spacing w:after="240" w:line="336" w:lineRule="auto"/>
      </w:pPr>
      <w:r>
        <w:rPr>
          <w:rFonts w:ascii="Arimo" w:eastAsia="Arimo" w:hAnsi="Arimo" w:cs="Arimo"/>
          <w:color w:val="000000"/>
          <w:sz w:val="24"/>
          <w:szCs w:val="24"/>
        </w:rPr>
        <w:t xml:space="preserve">[18] Moons KGM, </w:t>
      </w:r>
      <w:proofErr w:type="spellStart"/>
      <w:r>
        <w:rPr>
          <w:rFonts w:ascii="Arimo" w:eastAsia="Arimo" w:hAnsi="Arimo" w:cs="Arimo"/>
          <w:color w:val="000000"/>
          <w:sz w:val="24"/>
          <w:szCs w:val="24"/>
        </w:rPr>
        <w:t>Damen</w:t>
      </w:r>
      <w:proofErr w:type="spellEnd"/>
      <w:r>
        <w:rPr>
          <w:rFonts w:ascii="Arimo" w:eastAsia="Arimo" w:hAnsi="Arimo" w:cs="Arimo"/>
          <w:color w:val="000000"/>
          <w:sz w:val="24"/>
          <w:szCs w:val="24"/>
        </w:rPr>
        <w:t xml:space="preserve"> JAA, </w:t>
      </w:r>
      <w:proofErr w:type="spellStart"/>
      <w:r>
        <w:rPr>
          <w:rFonts w:ascii="Arimo" w:eastAsia="Arimo" w:hAnsi="Arimo" w:cs="Arimo"/>
          <w:color w:val="000000"/>
          <w:sz w:val="24"/>
          <w:szCs w:val="24"/>
        </w:rPr>
        <w:t>Kaul</w:t>
      </w:r>
      <w:proofErr w:type="spellEnd"/>
      <w:r>
        <w:rPr>
          <w:rFonts w:ascii="Arimo" w:eastAsia="Arimo" w:hAnsi="Arimo" w:cs="Arimo"/>
          <w:color w:val="000000"/>
          <w:sz w:val="24"/>
          <w:szCs w:val="24"/>
        </w:rPr>
        <w:t xml:space="preserve"> T, et al. PROBAST+AI: an updated quality, risk of bias, and applicability assessment tool for prediction models using regression or artificial intelligence methods. BMJ. 2025;</w:t>
      </w:r>
      <w:proofErr w:type="gramStart"/>
      <w:r>
        <w:rPr>
          <w:rFonts w:ascii="Arimo" w:eastAsia="Arimo" w:hAnsi="Arimo" w:cs="Arimo"/>
          <w:color w:val="000000"/>
          <w:sz w:val="24"/>
          <w:szCs w:val="24"/>
        </w:rPr>
        <w:t>388:e</w:t>
      </w:r>
      <w:proofErr w:type="gramEnd"/>
      <w:r>
        <w:rPr>
          <w:rFonts w:ascii="Arimo" w:eastAsia="Arimo" w:hAnsi="Arimo" w:cs="Arimo"/>
          <w:color w:val="000000"/>
          <w:sz w:val="24"/>
          <w:szCs w:val="24"/>
        </w:rPr>
        <w:t xml:space="preserve">082505. doi:10.1136/bmj-2024-082505. </w:t>
      </w:r>
    </w:p>
    <w:p w:rsidR="006012FE" w:rsidRDefault="007619F7">
      <w:pPr>
        <w:spacing w:after="240" w:line="336" w:lineRule="auto"/>
      </w:pPr>
      <w:r>
        <w:rPr>
          <w:rFonts w:ascii="Arimo Bold" w:eastAsia="Arimo Bold" w:hAnsi="Arimo Bold" w:cs="Arimo Bold"/>
          <w:b/>
          <w:bCs/>
          <w:color w:val="000000"/>
          <w:sz w:val="42"/>
          <w:szCs w:val="42"/>
        </w:rPr>
        <w:t xml:space="preserve"> </w:t>
      </w:r>
    </w:p>
    <w:sectPr w:rsidR="006012FE" w:rsidSect="007619F7">
      <w:headerReference w:type="default" r:id="rId11"/>
      <w:footerReference w:type="default" r:id="rId12"/>
      <w:pgSz w:w="11910" w:h="16845"/>
      <w:pgMar w:top="1440" w:right="1440" w:bottom="1440" w:left="1440" w:header="720" w:footer="720" w:gutter="0"/>
      <w:pgBorders w:display="notFirstPage" w:offsetFrom="page">
        <w:top w:val="single" w:sz="4" w:space="24" w:color="E7E6E6" w:themeColor="background2"/>
        <w:left w:val="single" w:sz="4" w:space="24" w:color="E7E6E6" w:themeColor="background2"/>
        <w:bottom w:val="single" w:sz="4" w:space="24" w:color="E7E6E6" w:themeColor="background2"/>
        <w:right w:val="single" w:sz="4" w:space="24" w:color="E7E6E6" w:themeColor="background2"/>
      </w:pgBorders>
      <w:cols w:space="720"/>
      <w:lnNumType w:countBy="1" w:restart="continuou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3DF6" w:rsidRDefault="007B3DF6" w:rsidP="007619F7">
      <w:pPr>
        <w:spacing w:after="0" w:line="240" w:lineRule="auto"/>
      </w:pPr>
      <w:r>
        <w:separator/>
      </w:r>
    </w:p>
  </w:endnote>
  <w:endnote w:type="continuationSeparator" w:id="0">
    <w:p w:rsidR="007B3DF6" w:rsidRDefault="007B3DF6" w:rsidP="00761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7E3D83B5-F923-4F92-9636-2C3C678A3435}"/>
  </w:font>
  <w:font w:name="Arial">
    <w:panose1 w:val="020B0604020202020204"/>
    <w:charset w:val="00"/>
    <w:family w:val="swiss"/>
    <w:pitch w:val="variable"/>
    <w:sig w:usb0="E0002EFF" w:usb1="C000785B" w:usb2="00000009" w:usb3="00000000" w:csb0="000001FF" w:csb1="00000000"/>
  </w:font>
  <w:font w:name="Corben Bold">
    <w:altName w:val="Times New Roman"/>
    <w:charset w:val="00"/>
    <w:family w:val="auto"/>
    <w:pitch w:val="default"/>
  </w:font>
  <w:font w:name="Corben">
    <w:altName w:val="Times New Roman"/>
    <w:charset w:val="00"/>
    <w:family w:val="auto"/>
    <w:pitch w:val="default"/>
  </w:font>
  <w:font w:name="Arimo Bold">
    <w:altName w:val="Times New Roman"/>
    <w:charset w:val="00"/>
    <w:family w:val="auto"/>
    <w:pitch w:val="default"/>
    <w:embedBold r:id="rId2" w:fontKey="{3D96E039-B8C4-4F10-9A63-738F482477FB}"/>
  </w:font>
  <w:font w:name="Arimo">
    <w:altName w:val="Times New Roman"/>
    <w:charset w:val="00"/>
    <w:family w:val="auto"/>
    <w:pitch w:val="default"/>
    <w:embedRegular r:id="rId3" w:fontKey="{A60AF550-44AD-4E34-A24D-957F26400259}"/>
    <w:embedBold r:id="rId4" w:fontKey="{21B9D70C-8B1E-4A4B-A268-2348E7FC985B}"/>
  </w:font>
  <w:font w:name="Arimo Italics">
    <w:charset w:val="00"/>
    <w:family w:val="auto"/>
    <w:pitch w:val="default"/>
    <w:embedItalic r:id="rId5" w:fontKey="{4FD0EDFC-F6BF-482A-B122-8717185E0B02}"/>
  </w:font>
  <w:font w:name="Calibri Light">
    <w:panose1 w:val="020F0302020204030204"/>
    <w:charset w:val="00"/>
    <w:family w:val="swiss"/>
    <w:pitch w:val="variable"/>
    <w:sig w:usb0="E4002EFF" w:usb1="C000247B" w:usb2="00000009" w:usb3="00000000" w:csb0="000001FF" w:csb1="00000000"/>
    <w:embedRegular r:id="rId6" w:fontKey="{B724C5A3-AE56-40F1-ABE1-C6B0953BD77A}"/>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95933988"/>
      <w:docPartObj>
        <w:docPartGallery w:val="Page Numbers (Bottom of Page)"/>
        <w:docPartUnique/>
      </w:docPartObj>
    </w:sdtPr>
    <w:sdtEndPr>
      <w:rPr>
        <w:noProof/>
      </w:rPr>
    </w:sdtEndPr>
    <w:sdtContent>
      <w:p w:rsidR="004009B8" w:rsidRDefault="004009B8">
        <w:pPr>
          <w:pStyle w:val="Footer"/>
          <w:jc w:val="center"/>
        </w:pPr>
        <w:r>
          <w:fldChar w:fldCharType="begin"/>
        </w:r>
        <w:r>
          <w:instrText xml:space="preserve"> PAGE   \* MERGEFORMAT </w:instrText>
        </w:r>
        <w:r>
          <w:fldChar w:fldCharType="separate"/>
        </w:r>
        <w:r w:rsidR="00681452">
          <w:rPr>
            <w:noProof/>
          </w:rPr>
          <w:t>37</w:t>
        </w:r>
        <w:r>
          <w:rPr>
            <w:noProof/>
          </w:rPr>
          <w:fldChar w:fldCharType="end"/>
        </w:r>
      </w:p>
    </w:sdtContent>
  </w:sdt>
  <w:p w:rsidR="004009B8" w:rsidRDefault="004009B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3DF6" w:rsidRDefault="007B3DF6" w:rsidP="007619F7">
      <w:pPr>
        <w:spacing w:after="0" w:line="240" w:lineRule="auto"/>
      </w:pPr>
      <w:r>
        <w:separator/>
      </w:r>
    </w:p>
  </w:footnote>
  <w:footnote w:type="continuationSeparator" w:id="0">
    <w:p w:rsidR="007B3DF6" w:rsidRDefault="007B3DF6" w:rsidP="00761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9B8" w:rsidRPr="007619F7" w:rsidRDefault="004009B8">
    <w:pPr>
      <w:pStyle w:val="Header"/>
      <w:rPr>
        <w:rStyle w:val="SubtleReference"/>
      </w:rPr>
    </w:pPr>
    <w:r w:rsidRPr="007619F7">
      <w:rPr>
        <w:rStyle w:val="SubtleReference"/>
      </w:rPr>
      <w:t>Routine measurements and screening findings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322DFD"/>
    <w:multiLevelType w:val="hybridMultilevel"/>
    <w:tmpl w:val="0C30F436"/>
    <w:lvl w:ilvl="0" w:tplc="3FBEB154">
      <w:start w:val="1"/>
      <w:numFmt w:val="bullet"/>
      <w:lvlText w:val=""/>
      <w:lvlJc w:val="left"/>
      <w:pPr>
        <w:ind w:left="400" w:hanging="360"/>
      </w:pPr>
      <w:rPr>
        <w:rFonts w:ascii="Symbol" w:hAnsi="Symbol"/>
      </w:rPr>
    </w:lvl>
    <w:lvl w:ilvl="1" w:tplc="8E5031AE">
      <w:start w:val="1"/>
      <w:numFmt w:val="bullet"/>
      <w:lvlText w:val="o"/>
      <w:lvlJc w:val="left"/>
      <w:pPr>
        <w:ind w:left="800" w:hanging="360"/>
      </w:pPr>
      <w:rPr>
        <w:rFonts w:ascii="Courier New" w:hAnsi="Courier New"/>
      </w:rPr>
    </w:lvl>
    <w:lvl w:ilvl="2" w:tplc="4B9AC650">
      <w:start w:val="1"/>
      <w:numFmt w:val="bullet"/>
      <w:lvlText w:val=""/>
      <w:lvlJc w:val="left"/>
      <w:pPr>
        <w:ind w:left="1200" w:hanging="360"/>
      </w:pPr>
      <w:rPr>
        <w:rFonts w:ascii="Wingdings" w:hAnsi="Wingdings"/>
      </w:rPr>
    </w:lvl>
    <w:lvl w:ilvl="3" w:tplc="9B906E1E">
      <w:start w:val="1"/>
      <w:numFmt w:val="bullet"/>
      <w:lvlText w:val=""/>
      <w:lvlJc w:val="left"/>
      <w:pPr>
        <w:ind w:left="1600" w:hanging="360"/>
      </w:pPr>
      <w:rPr>
        <w:rFonts w:ascii="Symbol" w:hAnsi="Symbol"/>
      </w:rPr>
    </w:lvl>
    <w:lvl w:ilvl="4" w:tplc="DDEA015C">
      <w:start w:val="1"/>
      <w:numFmt w:val="bullet"/>
      <w:lvlText w:val="o"/>
      <w:lvlJc w:val="left"/>
      <w:pPr>
        <w:ind w:left="2000" w:hanging="360"/>
      </w:pPr>
      <w:rPr>
        <w:rFonts w:ascii="Courier New" w:hAnsi="Courier New"/>
      </w:rPr>
    </w:lvl>
    <w:lvl w:ilvl="5" w:tplc="8CC04AEE">
      <w:start w:val="1"/>
      <w:numFmt w:val="bullet"/>
      <w:lvlText w:val=""/>
      <w:lvlJc w:val="left"/>
      <w:pPr>
        <w:ind w:left="2400" w:hanging="360"/>
      </w:pPr>
      <w:rPr>
        <w:rFonts w:ascii="Wingdings" w:hAnsi="Wingdings"/>
      </w:rPr>
    </w:lvl>
    <w:lvl w:ilvl="6" w:tplc="0BD40B42">
      <w:start w:val="1"/>
      <w:numFmt w:val="bullet"/>
      <w:lvlText w:val=""/>
      <w:lvlJc w:val="left"/>
      <w:pPr>
        <w:ind w:left="2800" w:hanging="360"/>
      </w:pPr>
      <w:rPr>
        <w:rFonts w:ascii="Symbol" w:hAnsi="Symbol"/>
      </w:rPr>
    </w:lvl>
    <w:lvl w:ilvl="7" w:tplc="6358C548">
      <w:start w:val="1"/>
      <w:numFmt w:val="bullet"/>
      <w:lvlText w:val="o"/>
      <w:lvlJc w:val="left"/>
      <w:pPr>
        <w:ind w:left="3200" w:hanging="360"/>
      </w:pPr>
      <w:rPr>
        <w:rFonts w:ascii="Courier New" w:hAnsi="Courier New"/>
      </w:rPr>
    </w:lvl>
    <w:lvl w:ilvl="8" w:tplc="D116C56E">
      <w:numFmt w:val="decimal"/>
      <w:lvlText w:val=""/>
      <w:lvlJc w:val="left"/>
    </w:lvl>
  </w:abstractNum>
  <w:abstractNum w:abstractNumId="1" w15:restartNumberingAfterBreak="0">
    <w:nsid w:val="449668AA"/>
    <w:multiLevelType w:val="hybridMultilevel"/>
    <w:tmpl w:val="2D2081D4"/>
    <w:lvl w:ilvl="0" w:tplc="262CC278">
      <w:start w:val="1"/>
      <w:numFmt w:val="bullet"/>
      <w:lvlText w:val=""/>
      <w:lvlJc w:val="left"/>
      <w:pPr>
        <w:ind w:left="400" w:hanging="360"/>
      </w:pPr>
      <w:rPr>
        <w:rFonts w:ascii="Symbol" w:hAnsi="Symbol"/>
      </w:rPr>
    </w:lvl>
    <w:lvl w:ilvl="1" w:tplc="082606FE">
      <w:start w:val="1"/>
      <w:numFmt w:val="bullet"/>
      <w:lvlText w:val="o"/>
      <w:lvlJc w:val="left"/>
      <w:pPr>
        <w:ind w:left="800" w:hanging="360"/>
      </w:pPr>
      <w:rPr>
        <w:rFonts w:ascii="Courier New" w:hAnsi="Courier New"/>
      </w:rPr>
    </w:lvl>
    <w:lvl w:ilvl="2" w:tplc="A01AA5E2">
      <w:start w:val="1"/>
      <w:numFmt w:val="bullet"/>
      <w:lvlText w:val=""/>
      <w:lvlJc w:val="left"/>
      <w:pPr>
        <w:ind w:left="1200" w:hanging="360"/>
      </w:pPr>
      <w:rPr>
        <w:rFonts w:ascii="Wingdings" w:hAnsi="Wingdings"/>
      </w:rPr>
    </w:lvl>
    <w:lvl w:ilvl="3" w:tplc="61427EF2">
      <w:start w:val="1"/>
      <w:numFmt w:val="bullet"/>
      <w:lvlText w:val=""/>
      <w:lvlJc w:val="left"/>
      <w:pPr>
        <w:ind w:left="1600" w:hanging="360"/>
      </w:pPr>
      <w:rPr>
        <w:rFonts w:ascii="Symbol" w:hAnsi="Symbol"/>
      </w:rPr>
    </w:lvl>
    <w:lvl w:ilvl="4" w:tplc="AE56CC28">
      <w:start w:val="1"/>
      <w:numFmt w:val="bullet"/>
      <w:lvlText w:val="o"/>
      <w:lvlJc w:val="left"/>
      <w:pPr>
        <w:ind w:left="2000" w:hanging="360"/>
      </w:pPr>
      <w:rPr>
        <w:rFonts w:ascii="Courier New" w:hAnsi="Courier New"/>
      </w:rPr>
    </w:lvl>
    <w:lvl w:ilvl="5" w:tplc="95B02E94">
      <w:start w:val="1"/>
      <w:numFmt w:val="bullet"/>
      <w:lvlText w:val=""/>
      <w:lvlJc w:val="left"/>
      <w:pPr>
        <w:ind w:left="2400" w:hanging="360"/>
      </w:pPr>
      <w:rPr>
        <w:rFonts w:ascii="Wingdings" w:hAnsi="Wingdings"/>
      </w:rPr>
    </w:lvl>
    <w:lvl w:ilvl="6" w:tplc="3E640BD0">
      <w:start w:val="1"/>
      <w:numFmt w:val="bullet"/>
      <w:lvlText w:val=""/>
      <w:lvlJc w:val="left"/>
      <w:pPr>
        <w:ind w:left="2800" w:hanging="360"/>
      </w:pPr>
      <w:rPr>
        <w:rFonts w:ascii="Symbol" w:hAnsi="Symbol"/>
      </w:rPr>
    </w:lvl>
    <w:lvl w:ilvl="7" w:tplc="671CF37A">
      <w:start w:val="1"/>
      <w:numFmt w:val="bullet"/>
      <w:lvlText w:val="o"/>
      <w:lvlJc w:val="left"/>
      <w:pPr>
        <w:ind w:left="3200" w:hanging="360"/>
      </w:pPr>
      <w:rPr>
        <w:rFonts w:ascii="Courier New" w:hAnsi="Courier New"/>
      </w:rPr>
    </w:lvl>
    <w:lvl w:ilvl="8" w:tplc="174C18A4">
      <w:numFmt w:val="decimal"/>
      <w:lvlText w:val=""/>
      <w:lvlJc w:val="left"/>
    </w:lvl>
  </w:abstractNum>
  <w:abstractNum w:abstractNumId="2" w15:restartNumberingAfterBreak="0">
    <w:nsid w:val="50DB2D6A"/>
    <w:multiLevelType w:val="hybridMultilevel"/>
    <w:tmpl w:val="0BAE6450"/>
    <w:lvl w:ilvl="0" w:tplc="B9D80388">
      <w:start w:val="1"/>
      <w:numFmt w:val="bullet"/>
      <w:lvlText w:val=""/>
      <w:lvlJc w:val="left"/>
      <w:pPr>
        <w:ind w:left="400" w:hanging="360"/>
      </w:pPr>
      <w:rPr>
        <w:rFonts w:ascii="Symbol" w:hAnsi="Symbol"/>
      </w:rPr>
    </w:lvl>
    <w:lvl w:ilvl="1" w:tplc="E08CF6D2">
      <w:start w:val="1"/>
      <w:numFmt w:val="bullet"/>
      <w:lvlText w:val="o"/>
      <w:lvlJc w:val="left"/>
      <w:pPr>
        <w:ind w:left="800" w:hanging="360"/>
      </w:pPr>
      <w:rPr>
        <w:rFonts w:ascii="Courier New" w:hAnsi="Courier New"/>
      </w:rPr>
    </w:lvl>
    <w:lvl w:ilvl="2" w:tplc="A1B424B2">
      <w:start w:val="1"/>
      <w:numFmt w:val="bullet"/>
      <w:lvlText w:val=""/>
      <w:lvlJc w:val="left"/>
      <w:pPr>
        <w:ind w:left="1200" w:hanging="360"/>
      </w:pPr>
      <w:rPr>
        <w:rFonts w:ascii="Wingdings" w:hAnsi="Wingdings"/>
      </w:rPr>
    </w:lvl>
    <w:lvl w:ilvl="3" w:tplc="2B70D864">
      <w:start w:val="1"/>
      <w:numFmt w:val="bullet"/>
      <w:lvlText w:val=""/>
      <w:lvlJc w:val="left"/>
      <w:pPr>
        <w:ind w:left="1600" w:hanging="360"/>
      </w:pPr>
      <w:rPr>
        <w:rFonts w:ascii="Symbol" w:hAnsi="Symbol"/>
      </w:rPr>
    </w:lvl>
    <w:lvl w:ilvl="4" w:tplc="3160BD24">
      <w:start w:val="1"/>
      <w:numFmt w:val="bullet"/>
      <w:lvlText w:val="o"/>
      <w:lvlJc w:val="left"/>
      <w:pPr>
        <w:ind w:left="2000" w:hanging="360"/>
      </w:pPr>
      <w:rPr>
        <w:rFonts w:ascii="Courier New" w:hAnsi="Courier New"/>
      </w:rPr>
    </w:lvl>
    <w:lvl w:ilvl="5" w:tplc="B056693C">
      <w:start w:val="1"/>
      <w:numFmt w:val="bullet"/>
      <w:lvlText w:val=""/>
      <w:lvlJc w:val="left"/>
      <w:pPr>
        <w:ind w:left="2400" w:hanging="360"/>
      </w:pPr>
      <w:rPr>
        <w:rFonts w:ascii="Wingdings" w:hAnsi="Wingdings"/>
      </w:rPr>
    </w:lvl>
    <w:lvl w:ilvl="6" w:tplc="C46A9F48">
      <w:start w:val="1"/>
      <w:numFmt w:val="bullet"/>
      <w:lvlText w:val=""/>
      <w:lvlJc w:val="left"/>
      <w:pPr>
        <w:ind w:left="2800" w:hanging="360"/>
      </w:pPr>
      <w:rPr>
        <w:rFonts w:ascii="Symbol" w:hAnsi="Symbol"/>
      </w:rPr>
    </w:lvl>
    <w:lvl w:ilvl="7" w:tplc="0E7ADC66">
      <w:start w:val="1"/>
      <w:numFmt w:val="bullet"/>
      <w:lvlText w:val="o"/>
      <w:lvlJc w:val="left"/>
      <w:pPr>
        <w:ind w:left="3200" w:hanging="360"/>
      </w:pPr>
      <w:rPr>
        <w:rFonts w:ascii="Courier New" w:hAnsi="Courier New"/>
      </w:rPr>
    </w:lvl>
    <w:lvl w:ilvl="8" w:tplc="C9F422DA">
      <w:numFmt w:val="decimal"/>
      <w:lvlText w:val=""/>
      <w:lvlJc w:val="left"/>
    </w:lvl>
  </w:abstractNum>
  <w:abstractNum w:abstractNumId="3" w15:restartNumberingAfterBreak="0">
    <w:nsid w:val="7FEE114A"/>
    <w:multiLevelType w:val="multilevel"/>
    <w:tmpl w:val="DF4A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proofState w:spelling="clean" w:grammar="clean"/>
  <w:defaultTabStop w:val="720"/>
  <w:doNotShadeFormData/>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2FE"/>
    <w:rsid w:val="0010799E"/>
    <w:rsid w:val="004009B8"/>
    <w:rsid w:val="004935A3"/>
    <w:rsid w:val="004C58D1"/>
    <w:rsid w:val="005A7021"/>
    <w:rsid w:val="005D0EF8"/>
    <w:rsid w:val="006012FE"/>
    <w:rsid w:val="00681452"/>
    <w:rsid w:val="007619F7"/>
    <w:rsid w:val="007B3DF6"/>
    <w:rsid w:val="00882AE1"/>
    <w:rsid w:val="0088387B"/>
    <w:rsid w:val="00B54BF3"/>
    <w:rsid w:val="00E04F09"/>
    <w:rsid w:val="00FD7B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EA017"/>
  <w15:docId w15:val="{6F3F6EBE-387C-4BA1-86FB-286A896C5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009B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009B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19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19F7"/>
  </w:style>
  <w:style w:type="paragraph" w:styleId="Footer">
    <w:name w:val="footer"/>
    <w:basedOn w:val="Normal"/>
    <w:link w:val="FooterChar"/>
    <w:uiPriority w:val="99"/>
    <w:unhideWhenUsed/>
    <w:rsid w:val="007619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19F7"/>
  </w:style>
  <w:style w:type="character" w:customStyle="1" w:styleId="agcmg">
    <w:name w:val="a_gcmg"/>
    <w:basedOn w:val="DefaultParagraphFont"/>
    <w:rsid w:val="007619F7"/>
  </w:style>
  <w:style w:type="character" w:styleId="SubtleReference">
    <w:name w:val="Subtle Reference"/>
    <w:basedOn w:val="DefaultParagraphFont"/>
    <w:uiPriority w:val="31"/>
    <w:qFormat/>
    <w:rsid w:val="007619F7"/>
    <w:rPr>
      <w:smallCaps/>
      <w:color w:val="5A5A5A" w:themeColor="text1" w:themeTint="A5"/>
    </w:rPr>
  </w:style>
  <w:style w:type="character" w:styleId="Strong">
    <w:name w:val="Strong"/>
    <w:basedOn w:val="DefaultParagraphFont"/>
    <w:uiPriority w:val="22"/>
    <w:qFormat/>
    <w:rsid w:val="004935A3"/>
    <w:rPr>
      <w:b/>
      <w:bCs/>
    </w:rPr>
  </w:style>
  <w:style w:type="character" w:customStyle="1" w:styleId="Heading3Char">
    <w:name w:val="Heading 3 Char"/>
    <w:basedOn w:val="DefaultParagraphFont"/>
    <w:link w:val="Heading3"/>
    <w:uiPriority w:val="9"/>
    <w:rsid w:val="004009B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009B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4009B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009B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51365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m451h/ESA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40</Pages>
  <Words>9838</Words>
  <Characters>56079</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Author Name(s) Affiliation(s)</vt:lpstr>
    </vt:vector>
  </TitlesOfParts>
  <Company/>
  <LinksUpToDate>false</LinksUpToDate>
  <CharactersWithSpaces>65786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Name(s) Affiliation(s)</dc:title>
  <dc:creator>Apache POI</dc:creator>
  <cp:lastModifiedBy>Shayan</cp:lastModifiedBy>
  <cp:revision>7</cp:revision>
  <dcterms:created xsi:type="dcterms:W3CDTF">2026-10-07T11:37:00Z</dcterms:created>
  <dcterms:modified xsi:type="dcterms:W3CDTF">2026-10-07T20:04:00Z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4d94b611ca80d64e0cdf4ee14e37c5397f06808d103eefa2289c54bf2f7830b8</vt:lpwstr>
  </property>
</Properties>
</file>