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rPr>
        <w:t>Additional file 1. Data dictionary</w:t>
      </w:r>
    </w:p>
    <w:p>
      <w:pPr>
        <w:jc w:val="center"/>
      </w:pPr>
      <w:r>
        <w:rPr>
          <w:rFonts w:ascii="Arial" w:hAnsi="Arial"/>
          <w:i/>
          <w:color w:val="000000"/>
          <w:sz w:val="19"/>
        </w:rPr>
        <w:t>Predictors and outcomes used in the retrospective occupational-health prediction study</w:t>
      </w:r>
    </w:p>
    <w:p>
      <w:r>
        <w:rPr>
          <w:rFonts w:ascii="Arial" w:hAnsi="Arial"/>
          <w:color w:val="000000"/>
        </w:rPr>
        <w:t>This dictionary describes 50 predictors and 12 recorded outcomes. Source-field keys, programmed ranges and coding rules are cross-checked against src/config.py, src/clean.py, src/features.py and src/targets.py. Clinical measurement units remain unverified unless stated otherwise; programmed bounds do not validate laboratory units or establish the cause of an outlying value.</w:t>
      </w:r>
    </w:p>
    <w:p>
      <w:pPr>
        <w:pStyle w:val="Heading1"/>
      </w:pPr>
      <w:r>
        <w:rPr>
          <w:rFonts w:ascii="Arial" w:hAnsi="Arial"/>
          <w:color w:val="000000"/>
        </w:rPr>
        <w:t>1. Predictor dictionary</w:t>
      </w:r>
    </w:p>
    <w:p>
      <w:r>
        <w:rPr>
          <w:rFonts w:ascii="Arial" w:hAnsi="Arial"/>
          <w:color w:val="000000"/>
        </w:rPr>
        <w:t>The full analysis panel contains 50 predictors: 2 demographic variables, 3 vital measurements, 22 variables in the chemistry block, 17 haematology indices, and 6 derived measures. Candidate models contain 49 predictors after excluding VT D3. Numeric plausibility checks and missing-value standardisation were applied upstream; logistic regression used training-fold median imputation and standardisation, whereas native gradient boosting retained missing values.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664"/>
        <w:gridCol w:w="1296"/>
        <w:gridCol w:w="4680"/>
        <w:gridCol w:w="3024"/>
        <w:gridCol w:w="2016"/>
      </w:tblGrid>
      <w:tr>
        <w:trPr>
          <w:cantSplit/>
          <w:tblHeader/>
        </w:trPr>
        <w:tc>
          <w:tcPr>
            <w:tcW w:type="dxa" w:w="144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Block</w:t>
            </w:r>
          </w:p>
        </w:tc>
        <w:tc>
          <w:tcPr>
            <w:tcW w:type="dxa" w:w="2664"/>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Predictor</w:t>
            </w:r>
          </w:p>
        </w:tc>
        <w:tc>
          <w:tcPr>
            <w:tcW w:type="dxa" w:w="129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Type</w:t>
            </w:r>
          </w:p>
        </w:tc>
        <w:tc>
          <w:tcPr>
            <w:tcW w:type="dxa" w:w="468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Coding / transformation</w:t>
            </w:r>
          </w:p>
        </w:tc>
        <w:tc>
          <w:tcPr>
            <w:tcW w:type="dxa" w:w="3024"/>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Unit provenance</w:t>
            </w:r>
          </w:p>
        </w:tc>
        <w:tc>
          <w:tcPr>
            <w:tcW w:type="dxa" w:w="201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49-variable candidate</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Demographics</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Age</w:t>
              <w:br/>
              <w:t>Field: age</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Approx. visit year minus birth year; unusable/out-of-range values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years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Demographics</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Male indicator</w:t>
              <w:br/>
              <w:t>Field: male</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Binary</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 for the exact recorded male category; 0 otherwise, including missing/unrecognised values. Exact positive string:</w:t>
              <w:br/>
              <w:t>مرد</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Vital measurements</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BMI</w:t>
              <w:br/>
              <w:t>Field: شاخص توده بدنی</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body mass index; retained numeric range 12 to 70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kg/m²</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Vital measurements</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Systolic blood pressure</w:t>
              <w:br/>
              <w:t>Field: فشار خون سیستول</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systolic pressure; retained numeric range 70 to 260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mmHg</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Vital measurements</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Diastolic blood pressure</w:t>
              <w:br/>
              <w:t>Field: فشار خون دیاستول</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diastolic pressure; retained numeric range 35 to 160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mmHg</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Fasting glucose</w:t>
              <w:br/>
              <w:t>Field: Fasting Blood Sugar</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40 to 500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mg/dL in manuscript table; verify source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Urea</w:t>
              <w:br/>
              <w:t>Field: Blood Urea</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 to 200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Creatinine</w:t>
              <w:br/>
              <w:t>Field: Creatinine</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0.2 to 15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mg/dL in manuscript table; verify source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Uric acid</w:t>
              <w:br/>
              <w:t>Field: Uric Acid</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0.5 to 20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Total cholesterol</w:t>
              <w:br/>
              <w:t>Field: Cholesterol</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50 to 500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mg/dL in manuscript table; verify source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Triglycerides</w:t>
              <w:br/>
              <w:t>Field: Triglycerides</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10 to 2000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mg/dL in manuscript table; verify source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HDL</w:t>
              <w:br/>
              <w:t>Field: HDL cholestrol</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10 to 150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mg/dL in manuscript table; verify source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LDL</w:t>
              <w:br/>
              <w:t>Field: LDL cholestrol</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10 to 350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Calcium</w:t>
              <w:br/>
              <w:t>Field: Calcium</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 to 15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Phosphorus</w:t>
              <w:br/>
              <w:t>Field: Phosphorus</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 to 10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Total bilirubin</w:t>
              <w:br/>
              <w:t>Field: Total Bilirubin</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0.05 to 20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Direct bilirubin</w:t>
              <w:br/>
              <w:t>Field: Direct bilirubin</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0.01 to 15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AST</w:t>
              <w:br/>
              <w:t>Field: SGOT (AST)</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 to 1000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ALT</w:t>
              <w:br/>
              <w:t>Field: SGPT (ALT)</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 to 1000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Alkaline phosphatase</w:t>
              <w:br/>
              <w:t>Field: Alkaline phosphatase</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20 to 2000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ESR</w:t>
              <w:br/>
              <w:t>Field: ESR</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 to 150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TSH</w:t>
              <w:br/>
              <w:t>Field: TSH</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0.005 to 150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VT D3</w:t>
              <w:br/>
              <w:t>Field: VT D3</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post hoc audit found strong group/batch sensitivity; retained numeric range 2 to 150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Source units not verified</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Excluded from 49-predictor candidates</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Ferritin</w:t>
              <w:br/>
              <w:t>Field: FER</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 to 2000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Iron</w:t>
              <w:br/>
              <w:t>Field: IRON</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 to 500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TIBC</w:t>
              <w:br/>
              <w:t>Field: TIBC</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100 to 700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Chemistry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HbA1c</w:t>
              <w:br/>
              <w:t>Field: A1C</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3 to 20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 in manuscript table; verify source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Haemoglobin</w:t>
              <w:br/>
              <w:t>Field: HB</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 to 22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Haematocrit</w:t>
              <w:br/>
              <w:t>Field: HCT</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15 to 70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MCV</w:t>
              <w:br/>
              <w:t>Field: MCV</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50 to 130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MCH</w:t>
              <w:br/>
              <w:t>Field: MCH</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15 to 45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MCHC</w:t>
              <w:br/>
              <w:t>Field: MCHC</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25 to 40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Platelets</w:t>
              <w:br/>
              <w:t>Field: PLT</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10 to 1000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RDW-CV</w:t>
              <w:br/>
              <w:t>Field: RDW.CV</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8 to 30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RDW-SD</w:t>
              <w:br/>
              <w:t>Field: RDW.SD</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20 to 100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White cell count</w:t>
              <w:br/>
              <w:t>Field: WBC.1</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1 to 60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Red cell count</w:t>
              <w:br/>
              <w:t>Field: RBC.1</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 to 9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Neutrophil index</w:t>
              <w:br/>
              <w:t>Field: N</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 to 95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Lymphocyte index</w:t>
              <w:br/>
              <w:t>Field: L</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2 to 90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Monocyte index</w:t>
              <w:br/>
              <w:t>Field: M</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 to 30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Eosinophil index</w:t>
              <w:br/>
              <w:t>Field: EO</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 to 30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Basophil index</w:t>
              <w:br/>
              <w:t>Field: BAS</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0 to 10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MPV</w:t>
              <w:br/>
              <w:t>Field: MPV</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 to 20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Haematology</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PDW</w:t>
              <w:br/>
              <w:t>Field: PDW</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source value; retained numeric range 5 to 30 inclusive; outside range set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Not verified in manuscript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Derived</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Neutrophil-to-</w:t>
              <w:br/>
              <w:t>lymphocyte ratio</w:t>
              <w:br/>
              <w:t>Field: nlr</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 derived</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Neutrophils / lymphocytes; zero denominator replaced by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ratio</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Derived</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AST/ALT ratio</w:t>
              <w:br/>
              <w:t>Field: ast_alt</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 derived</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AST / ALT; zero denominator replaced by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ratio</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Derived</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Triglyceride/HDL ratio</w:t>
              <w:br/>
              <w:t>Field: tg_hdl</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 derived</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Triglycerides / HDL; zero denominator replaced by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ratio</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Derived</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Non-HDL</w:t>
              <w:br/>
              <w:t>cholesterol</w:t>
              <w:br/>
              <w:t>Field: non_hdl</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 derived</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Total cholesterol − HDL</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same units as cholesterol</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Derived</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Transferrin saturation</w:t>
              <w:br/>
              <w:t>Field: transferrin_sat</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 derived</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100 × iron / TIBC; zero denominator replaced by missing</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r>
        <w:trPr>
          <w:cantSplit/>
        </w:trPr>
        <w:tc>
          <w:tcPr>
            <w:tcW w:type="dxa" w:w="1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Derived</w:t>
            </w:r>
          </w:p>
        </w:tc>
        <w:tc>
          <w:tcPr>
            <w:tcW w:type="dxa" w:w="266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Pulse pressure</w:t>
              <w:br/>
              <w:t>Field: pulse_pressure</w:t>
            </w:r>
          </w:p>
        </w:tc>
        <w:tc>
          <w:tcPr>
            <w:tcW w:type="dxa" w:w="129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Numeric derived</w:t>
            </w:r>
          </w:p>
        </w:tc>
        <w:tc>
          <w:tcPr>
            <w:tcW w:type="dxa" w:w="46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Systolic − diastolic blood pressure</w:t>
            </w:r>
          </w:p>
        </w:tc>
        <w:tc>
          <w:tcPr>
            <w:tcW w:type="dxa" w:w="302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mmHg</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Included</w:t>
            </w:r>
          </w:p>
        </w:tc>
      </w:tr>
    </w:tbl>
    <w:p>
      <w:pPr>
        <w:pStyle w:val="Heading1"/>
        <w:spacing w:before="140"/>
      </w:pPr>
      <w:r>
        <w:rPr>
          <w:rFonts w:ascii="Arial" w:hAnsi="Arial"/>
          <w:color w:val="000000"/>
        </w:rPr>
        <w:t>2. Outcome dictionary</w:t>
      </w:r>
    </w:p>
    <w:p>
      <w:r>
        <w:rPr>
          <w:rFonts w:ascii="Arial" w:hAnsi="Arial"/>
          <w:color w:val="000000"/>
        </w:rPr>
        <w:t>Each outcome has its own observed-label denominator. Missing or unusable target values exclude a visit only from that endpoint. Prostate and mammography endpoints are restricted by recorded sex as shown below. These are operational source-record labels, not independently adjudicated clinical diagnoses.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80"/>
        <w:gridCol w:w="5328"/>
        <w:gridCol w:w="1656"/>
        <w:gridCol w:w="1008"/>
        <w:gridCol w:w="936"/>
        <w:gridCol w:w="1008"/>
      </w:tblGrid>
      <w:tr>
        <w:trPr>
          <w:cantSplit/>
          <w:tblHeader/>
        </w:trPr>
        <w:tc>
          <w:tcPr>
            <w:tcW w:type="dxa" w:w="2304"/>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Outcome</w:t>
            </w:r>
          </w:p>
        </w:tc>
        <w:tc>
          <w:tcPr>
            <w:tcW w:type="dxa" w:w="288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Source / field group</w:t>
            </w:r>
          </w:p>
        </w:tc>
        <w:tc>
          <w:tcPr>
            <w:tcW w:type="dxa" w:w="5328"/>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Operational definition</w:t>
            </w:r>
          </w:p>
        </w:tc>
        <w:tc>
          <w:tcPr>
            <w:tcW w:type="dxa" w:w="165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Restriction</w:t>
            </w:r>
          </w:p>
        </w:tc>
        <w:tc>
          <w:tcPr>
            <w:tcW w:type="dxa" w:w="1008"/>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Labelled</w:t>
            </w:r>
          </w:p>
        </w:tc>
        <w:tc>
          <w:tcPr>
            <w:tcW w:type="dxa" w:w="93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Positive</w:t>
            </w:r>
          </w:p>
        </w:tc>
        <w:tc>
          <w:tcPr>
            <w:tcW w:type="dxa" w:w="1008"/>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Positive %</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Kidney stone</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stone_in_the_kidney</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Positive for yes, Yes, or YES; other non-missing strings negative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32,471</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1,861</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5.73%</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Hydronephrosis</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hydronephrosis</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Positive for yes, Yes, or YES; other non-missing strings negative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32,377</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237</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0.73%</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Gallstones</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presence_stones_in_the_gallbladder</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Positive for yes, Yes, or YES; other non-missing strings negative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31,832</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815</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2.56%</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Nephrolithiasis</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nephrolithiasis</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Positive for yes, Yes, or YES; other non-missing strings negative; retained separately from kidney stone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31,772</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2,416</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7.60%</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low bone mass</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dexa_bmd_lhip_cat; dexa_bmd_lumbar_spine_cat</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Any available site category osteopenia or osteoporosis is positive. Otherwise any observed category yields negative, including an unrecognised non-missing category. Both sites missing yields missing. Code-generated categories are normal, osteopenia and osteoporosis.</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20,238</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2,726</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13.47%</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mitral regurgitation ≥mild</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mr</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Exact positives: MR - mild; MR - mild to moderate; MR - moderate; MR - moderate to severe. Other non-missing values negative; missing stays missing.</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19,382</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15,835</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81.70%</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Mitral valve abnormality</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mitral_valve</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Any non-missing value other than “Mitral valve - normal” positive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17,550</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491</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2.80%</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Prostate echotexture, heterogeneous</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kind_of_echo_in_prostate</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Exact positive source value “Hetrogeneous”; other non-missing values negative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males only</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13,921</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2,038</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14.64%</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K6 score ≥13</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امتیاز ارزیابی روانشناختی K6</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Score ≥13 positive; other observed numeric scores negative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13,697</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340</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2.48%</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Any positive toxicology field</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Morphine; Marijuana; Cocaine; Benzodiazepines; Amphetamine; Buprenorphin; Methadone; Tramadol</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Positive if any available drug field contains “Positive”; negative if at least one drug field observed and none positive</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Incomplete panel allowed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4,730</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263</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5.56%</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Carotid abnormality</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rcca; rica; reca; lcca; lica; leca</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Positive if any observed field is neither No plaque nor No stenosis. Negative if at least one field is observed and every observed value is one of those two strings. All fields missing yields missing.</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None stated</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1,651</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57</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3.45%</w:t>
            </w:r>
          </w:p>
        </w:tc>
      </w:tr>
      <w:tr>
        <w:trPr>
          <w:cantSplit/>
        </w:trPr>
        <w:tc>
          <w:tcPr>
            <w:tcW w:type="dxa" w:w="2304"/>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Mammography BI-RADS 3–6</w:t>
            </w:r>
          </w:p>
        </w:tc>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birads_category</w:t>
            </w:r>
          </w:p>
        </w:tc>
        <w:tc>
          <w:tcPr>
            <w:tcW w:type="dxa" w:w="53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BI-RADS 3–6 positive; 1–2 negative; unrecognised/missing excluded</w:t>
            </w:r>
          </w:p>
        </w:tc>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Recorded females only</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1,087</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277</w:t>
            </w:r>
          </w:p>
        </w:tc>
        <w:tc>
          <w:tcPr>
            <w:tcW w:type="dxa" w:w="100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25.48%</w:t>
            </w:r>
          </w:p>
        </w:tc>
      </w:tr>
    </w:tbl>
    <w:p>
      <w:pPr>
        <w:pStyle w:val="Heading1"/>
        <w:spacing w:before="140"/>
      </w:pPr>
      <w:r>
        <w:rPr>
          <w:rFonts w:ascii="Arial" w:hAnsi="Arial"/>
          <w:color w:val="000000"/>
        </w:rPr>
        <w:t>3. Data-processing notes</w:t>
      </w:r>
    </w:p>
    <w:p>
      <w:pPr>
        <w:pStyle w:val="ListBullet"/>
      </w:pPr>
      <w:r>
        <w:rPr>
          <w:rFonts w:ascii="Arial" w:hAnsi="Arial"/>
          <w:color w:val="000000"/>
        </w:rPr>
        <w:t>Across extraction batches, date formats, numeric encodings, missing-value codes, measurement units and reference-range conventions were standardised before merging.</w:t>
      </w:r>
    </w:p>
    <w:p>
      <w:pPr>
        <w:pStyle w:val="ListBullet"/>
      </w:pPr>
      <w:r>
        <w:rPr>
          <w:rFonts w:ascii="Arial" w:hAnsi="Arial"/>
          <w:color w:val="000000"/>
        </w:rPr>
        <w:t>Strings encoding tests not performed or not recorded were normalised to missing; 1,780,697 cells were affected. Seventy-three core numeric values outside programmed plausibility bounds were set to missing.</w:t>
      </w:r>
    </w:p>
    <w:p>
      <w:pPr>
        <w:pStyle w:val="ListBullet"/>
      </w:pPr>
      <w:r>
        <w:rPr>
          <w:rFonts w:ascii="Arial" w:hAnsi="Arial"/>
          <w:color w:val="000000"/>
        </w:rPr>
        <w:t>Age was approximated as visit year minus birth year; 165 unusable or out-of-range values outside 16–95 years were set to missing.</w:t>
      </w:r>
    </w:p>
    <w:p>
      <w:pPr>
        <w:pStyle w:val="ListBullet"/>
      </w:pPr>
      <w:r>
        <w:rPr>
          <w:rFonts w:ascii="Arial" w:hAnsi="Arial"/>
          <w:color w:val="000000"/>
        </w:rPr>
        <w:t>The source field labelled “bph” was excluded because its contents represented laterality rather than the intended finding.</w:t>
      </w:r>
    </w:p>
    <w:p>
      <w:pPr>
        <w:pStyle w:val="ListBullet"/>
      </w:pPr>
      <w:r>
        <w:rPr>
          <w:rFonts w:ascii="Arial" w:hAnsi="Arial"/>
          <w:color w:val="000000"/>
        </w:rPr>
        <w:t>Inputs were drawn from the same recorded visit, but timestamps confirming availability before additional-test ordering were unavailable; prospective predictor availability therefore remains unverified.</w:t>
      </w:r>
    </w:p>
    <w:p>
      <w:pPr>
        <w:pStyle w:val="ListBullet"/>
      </w:pPr>
      <w:r>
        <w:rPr>
          <w:rFonts w:ascii="Arial" w:hAnsi="Arial"/>
          <w:color w:val="000000"/>
        </w:rPr>
        <w:t>The exact source laboratory units, assay identities, and some original field spellings must be checked against the source system before public implementation.</w:t>
      </w:r>
    </w:p>
    <w:p>
      <w:pPr>
        <w:pStyle w:val="Heading1"/>
      </w:pPr>
      <w:r>
        <w:rPr>
          <w:rFonts w:ascii="Arial" w:hAnsi="Arial"/>
          <w:color w:val="000000"/>
        </w:rPr>
        <w:t>4. Machine-readable files</w:t>
      </w:r>
    </w:p>
    <w:p>
      <w:r>
        <w:rPr>
          <w:rFonts w:ascii="Arial" w:hAnsi="Arial"/>
          <w:color w:val="000000"/>
        </w:rPr>
        <w:t>S1_predictors.csv and S1_outcomes.csv are machine-readable transcriptions of the tables in this document, with code-checked field names and provenance. Reported outcome counts are checked against results/tables/target_summary.csv; they have not been recalculated from source patient records.</w:t>
      </w:r>
    </w:p>
    <w:p>
      <w:pPr>
        <w:pStyle w:val="Heading1"/>
      </w:pPr>
      <w:r>
        <w:rPr>
          <w:rFonts w:ascii="Arial" w:hAnsi="Arial"/>
          <w:color w:val="000000"/>
        </w:rPr>
        <w:t>Implementation details</w:t>
      </w:r>
    </w:p>
    <w:p>
      <w:r>
        <w:rPr>
          <w:rFonts w:ascii="Arial" w:hAnsi="Arial"/>
          <w:color w:val="000000"/>
        </w:rPr>
        <w:t>The ablation ladder assigns pulse pressure to vitals; AST/ALT, triglyceride/HDL, non-HDL and transferrin saturation to chemistry; and neutrophil/lymphocyte ratio to haematology. Feature counts are 2, 6, 32 and 50. The dictionary lists derived variables separately for readability.</w:t>
      </w:r>
    </w:p>
    <w:p>
      <w:r>
        <w:rPr>
          <w:rFonts w:ascii="Arial" w:hAnsi="Arial"/>
          <w:color w:val="000000"/>
        </w:rPr>
        <w:t>Sentinel matching is case-insensitive and uses the patterns not registered, not_registered, ثبت نشده, انجام نداده, انجام نشده and نامشخص. Numeric conversion translates Persian/Arabic digits and removes characters other than digits, decimal points, signs and e/E before coercion. Densitometry categories are taken from the first usable category-specific numeric column, in normal, osteopenia, osteoporosis order; programmed BMD bounds are 0.2 to 2.0 and T-/Z-score bounds are -6 to 6.</w:t>
      </w:r>
    </w:p>
    <w:sectPr w:rsidR="00FC693F" w:rsidRPr="0006063C" w:rsidSect="00034616">
      <w:pgSz w:w="16848" w:h="11952"/>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eastAsia="DejaVu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DejaVu San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1. Data dictionary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