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rPr>
        <w:t>Additional file 2. Identity audit, VT D3 investigation and first-record sensitivity analyses</w:t>
      </w:r>
    </w:p>
    <w:p>
      <w:pPr>
        <w:jc w:val="center"/>
      </w:pPr>
      <w:r>
        <w:rPr>
          <w:rFonts w:ascii="Arial" w:hAnsi="Arial"/>
          <w:i/>
          <w:color w:val="000000"/>
          <w:sz w:val="19"/>
        </w:rPr>
        <w:t>Evidence and reproducibility summary for the revised manuscript</w:t>
      </w:r>
    </w:p>
    <w:p>
      <w:r>
        <w:rPr>
          <w:rFonts w:ascii="Arial" w:hAnsi="Arial"/>
          <w:color w:val="000000"/>
        </w:rPr>
        <w:t>This supplement presents the reported identity audit, VT D3 investigation and first-record sensitivity analyses. Revision estimates are transcribed from the supplied supplement and cross-checked against the manuscript, not independently refitted. The upstream anonymous identifier and visit-level source dataset are not included in the received archive.</w:t>
      </w:r>
    </w:p>
    <w:p>
      <w:pPr>
        <w:pStyle w:val="Heading1"/>
      </w:pPr>
      <w:r>
        <w:rPr>
          <w:rFonts w:ascii="Arial" w:hAnsi="Arial"/>
          <w:color w:val="000000"/>
        </w:rPr>
        <w:t>1. Identity audit</w:t>
      </w:r>
    </w:p>
    <w:p>
      <w:r>
        <w:rPr>
          <w:rFonts w:ascii="Arial" w:hAnsi="Arial"/>
          <w:color w:val="000000"/>
        </w:rPr>
        <w:t>Operational patient identifiers reportedly linked records across systems before de-identification, with a new anonymous patient identifier retained upstream. However, inspection of the supplied workbook, processed-data schema and analysis code found no upstream anonymous identifier or row-level crosswalk. The implemented analysis therefore used a reconstructed identity formed from recorded birth date and sex.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10440"/>
      </w:tblGrid>
      <w:tr>
        <w:trPr>
          <w:tblHeader w:val="true"/>
          <w:cantSplit/>
        </w:trPr>
        <w:tc>
          <w:tcPr>
            <w:tcW w:type="dxa" w:w="288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Audit item</w:t>
            </w:r>
          </w:p>
        </w:tc>
        <w:tc>
          <w:tcPr>
            <w:tcW w:type="dxa" w:w="180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Value</w:t>
            </w:r>
          </w:p>
        </w:tc>
        <w:tc>
          <w:tcPr>
            <w:tcW w:type="dxa" w:w="1044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Interpretation</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Total visits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36,885</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Source cohort</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Reconstructed identity groups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12,246</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Birth-date + recorded-sex quasi-identifier</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Groups with ≥2 visits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7,606</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Repeat attendance under reconstructed identity</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Groups with ≥3 visits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5,051</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Repeat attendance under reconstructed identity</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Identity–visit-date groups with &gt;1 record</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111</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Does not estimate true linkage error</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First records selected</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12,246</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Earliest recorded visit per reconstructed identity</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Tied earliest dates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15 identities</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Resolved by processed row order</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Upstream anonymous identifier</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Unavailable in supplied archive</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True-ID merge/split audit cannot be completed</w:t>
            </w:r>
          </w:p>
        </w:tc>
      </w:tr>
    </w:tbl>
    <w:p>
      <w:pPr>
        <w:pStyle w:val="Heading2"/>
        <w:spacing w:before="140"/>
      </w:pPr>
      <w:r>
        <w:rPr>
          <w:rFonts w:ascii="Arial" w:hAnsi="Arial"/>
          <w:color w:val="000000"/>
        </w:rPr>
        <w:t>Data needed to complete true-ID reconciliation</w:t>
      </w:r>
    </w:p>
    <w:p>
      <w:pPr>
        <w:pStyle w:val="ListBullet"/>
      </w:pPr>
      <w:r>
        <w:rPr>
          <w:rFonts w:ascii="Arial" w:hAnsi="Arial"/>
          <w:color w:val="000000"/>
        </w:rPr>
        <w:t>A stable upstream anonymous patient identifier for each processed visit, or a verified crosswalk to an unambiguous visit key.</w:t>
      </w:r>
    </w:p>
    <w:p>
      <w:pPr>
        <w:pStyle w:val="ListBullet"/>
      </w:pPr>
      <w:r>
        <w:rPr>
          <w:rFonts w:ascii="Arial" w:hAnsi="Arial"/>
          <w:color w:val="000000"/>
        </w:rPr>
        <w:t>Confirmation that the identifier is stable across all contributing systems and programme years.</w:t>
      </w:r>
    </w:p>
    <w:p>
      <w:pPr>
        <w:pStyle w:val="ListBullet"/>
      </w:pPr>
      <w:r>
        <w:rPr>
          <w:rFonts w:ascii="Arial" w:hAnsi="Arial"/>
          <w:color w:val="000000"/>
        </w:rPr>
        <w:t>A row-level mapping sufficient to quantify reconstructed identities that merge multiple true persons or split one true person.</w:t>
      </w:r>
    </w:p>
    <w:p>
      <w:pPr>
        <w:pStyle w:val="ListBullet"/>
      </w:pPr>
      <w:r>
        <w:rPr>
          <w:rFonts w:ascii="Arial" w:hAnsi="Arial"/>
          <w:color w:val="000000"/>
        </w:rPr>
        <w:t>After reconciliation, rerun person-grouped and screening-group-held-out evaluations with the true identifier and report AUROC/calibration changes.</w:t>
      </w:r>
    </w:p>
    <w:p>
      <w:pPr>
        <w:pStyle w:val="Heading1"/>
      </w:pPr>
      <w:r>
        <w:rPr>
          <w:rFonts w:ascii="Arial" w:hAnsi="Arial"/>
          <w:color w:val="000000"/>
        </w:rPr>
        <w:t>2. VT D3 investigation</w:t>
      </w:r>
    </w:p>
    <w:p>
      <w:r>
        <w:rPr>
          <w:rFonts w:ascii="Arial" w:hAnsi="Arial"/>
          <w:color w:val="000000"/>
        </w:rPr>
        <w:t>VT D3 was retained in the original 50-predictor analysis but excluded from the two 49-predictor exploratory candidate models. The post hoc investigation examined variation by extraction batch and screening group and fitted descriptive logistic models for recorded low bone mass with VT D3 expressed per 10 source units, adjusted first for age and sex and then additionally for group and extraction batch.</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10440"/>
      </w:tblGrid>
      <w:tr>
        <w:trPr>
          <w:tblHeader w:val="true"/>
          <w:cantSplit/>
        </w:trPr>
        <w:tc>
          <w:tcPr>
            <w:tcW w:type="dxa" w:w="288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Audit item</w:t>
            </w:r>
          </w:p>
        </w:tc>
        <w:tc>
          <w:tcPr>
            <w:tcW w:type="dxa" w:w="180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Estimate / value</w:t>
            </w:r>
          </w:p>
        </w:tc>
        <w:tc>
          <w:tcPr>
            <w:tcW w:type="dxa" w:w="1044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Interpretation</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Complete labelled records with VT D3, age, sex</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18,428</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Full eligible records for descriptive logistic audit</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OR per 10 source units, age/sex adjusted</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1.523</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Descriptive; not causal</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OR per 10 source units, + screening-group and batch adjustment</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0.965</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Strong attenuation after operational adjustment</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First-record complete cases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5,235</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First-record descriptive audit</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First-record OR, age/sex adjusted</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1.594</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Descriptive; not causal</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First-record OR, + screening-group and batch adjustment</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0.919</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Attenuation persists</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Earliest extraction batch</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No observed VT D3</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Missingness varies by batch</w:t>
            </w:r>
          </w:p>
        </w:tc>
      </w:tr>
      <w:tr>
        <w:trPr>
          <w:cantSplit/>
        </w:trPr>
        <w:tc>
          <w:tcPr>
            <w:tcW w:type="dxa" w:w="28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Observed batch medians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23.4–24.7 in 1398 part 2 through 1399; 38.6–39.7 in 1401</w:t>
            </w:r>
          </w:p>
        </w:tc>
        <w:tc>
          <w:tcPr>
            <w:tcW w:type="dxa" w:w="1044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Illustrates batch/time variation; not assay proof</w:t>
            </w:r>
          </w:p>
        </w:tc>
      </w:tr>
    </w:tbl>
    <w:p>
      <w:pPr>
        <w:spacing w:before="140"/>
      </w:pPr>
      <w:r>
        <w:rPr>
          <w:rFonts w:ascii="Arial" w:hAnsi="Arial"/>
          <w:b/>
          <w:color w:val="000000"/>
        </w:rPr>
        <w:t xml:space="preserve">Interpretation: </w:t>
      </w:r>
      <w:r>
        <w:rPr>
          <w:rFonts w:ascii="Arial" w:hAnsi="Arial"/>
          <w:color w:val="000000"/>
        </w:rPr>
        <w:t>The marked attenuation after group/batch adjustment is consistent with operational confounding and weakens a simple biological interpretation. It does not establish an assay-batch fault, rule out confounding by testing indication or prior treatment, or exclude leakage. Assay identity, instrument/calibration records, supplement use, testing indications and within-visit timestamps were unavailable. The cause therefore remains undetermined, and the candidate models continue to exclude VT D3.</w:t>
      </w:r>
    </w:p>
    <w:p>
      <w:pPr>
        <w:pStyle w:val="Heading1"/>
      </w:pPr>
      <w:r>
        <w:rPr>
          <w:rFonts w:ascii="Arial" w:hAnsi="Arial"/>
          <w:color w:val="000000"/>
        </w:rPr>
        <w:t>3. First recorded visit sensitivity analysis</w:t>
      </w:r>
    </w:p>
    <w:p>
      <w:pPr>
        <w:pStyle w:val="Heading2"/>
      </w:pPr>
      <w:r>
        <w:rPr>
          <w:rFonts w:ascii="Arial" w:hAnsi="Arial"/>
          <w:color w:val="000000"/>
        </w:rPr>
        <w:t>Methods</w:t>
      </w:r>
    </w:p>
    <w:p>
      <w:pPr>
        <w:pStyle w:val="ListBullet"/>
      </w:pPr>
      <w:r>
        <w:rPr>
          <w:rFonts w:ascii="Arial" w:hAnsi="Arial"/>
          <w:color w:val="000000"/>
        </w:rPr>
        <w:t>The earliest recorded visit for each reconstructed identity was selected before endpoint eligibility, using exact Jalali year/month/day tuples; 15 tied earliest dates were resolved by processed row order.</w:t>
      </w:r>
    </w:p>
    <w:p>
      <w:pPr>
        <w:pStyle w:val="ListBullet"/>
      </w:pPr>
      <w:r>
        <w:rPr>
          <w:rFonts w:ascii="Arial" w:hAnsi="Arial"/>
          <w:color w:val="000000"/>
        </w:rPr>
        <w:t>The resulting 12,246 records are first observed records in this archive, not necessarily lifetime first visits, and they do not correct quasi-identifier linkage error.</w:t>
      </w:r>
    </w:p>
    <w:p>
      <w:pPr>
        <w:pStyle w:val="ListBullet"/>
      </w:pPr>
      <w:r>
        <w:rPr>
          <w:rFonts w:ascii="Arial" w:hAnsi="Arial"/>
          <w:color w:val="000000"/>
        </w:rPr>
        <w:t>For recorded low bone mass and prostate echotexture, native boosting with 50 predictors and median-imputed boosting with 49 predictors were refitted using the original model settings under person-grouped and screening-group-held-out evaluation.</w:t>
      </w:r>
    </w:p>
    <w:p>
      <w:pPr>
        <w:pStyle w:val="ListBullet"/>
      </w:pPr>
      <w:r>
        <w:rPr>
          <w:rFonts w:ascii="Arial" w:hAnsi="Arial"/>
          <w:color w:val="000000"/>
        </w:rPr>
        <w:t>Original full-cohort screening-group definitions and target-specific fold rules were retained. Full-cohort comparators were refitted in the same environment, and outer folds were checked for reconstructed-identity overlap.</w:t>
      </w:r>
    </w:p>
    <w:p>
      <w:pPr>
        <w:pStyle w:val="ListBullet"/>
      </w:pPr>
      <w:r>
        <w:rPr>
          <w:rFonts w:ascii="Arial" w:hAnsi="Arial"/>
          <w:color w:val="000000"/>
        </w:rPr>
        <w:t>AUROC intervals used 1,000 fixed-prediction bootstrap replicates (seed 20260916). These intervals exclude model-refitting uncertainty and, for group evaluation, uncertainty from sampling new groups.</w:t>
      </w:r>
    </w:p>
    <w:p>
      <w:pPr>
        <w:pStyle w:val="Heading2"/>
      </w:pPr>
      <w:r>
        <w:rPr>
          <w:rFonts w:ascii="Arial" w:hAnsi="Arial"/>
          <w:color w:val="000000"/>
        </w:rPr>
        <w:t>Results: native boosting, 50 predictors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800"/>
        <w:gridCol w:w="1872"/>
        <w:gridCol w:w="936"/>
        <w:gridCol w:w="936"/>
        <w:gridCol w:w="1080"/>
        <w:gridCol w:w="2448"/>
        <w:gridCol w:w="1476"/>
        <w:gridCol w:w="1476"/>
      </w:tblGrid>
      <w:tr>
        <w:trPr>
          <w:tblHeader w:val="true"/>
          <w:cantSplit/>
        </w:trPr>
        <w:tc>
          <w:tcPr>
            <w:tcW w:type="dxa" w:w="165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Outcome</w:t>
            </w:r>
          </w:p>
        </w:tc>
        <w:tc>
          <w:tcPr>
            <w:tcW w:type="dxa" w:w="180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Design</w:t>
            </w:r>
          </w:p>
        </w:tc>
        <w:tc>
          <w:tcPr>
            <w:tcW w:type="dxa" w:w="1872"/>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Model</w:t>
            </w:r>
          </w:p>
        </w:tc>
        <w:tc>
          <w:tcPr>
            <w:tcW w:type="dxa" w:w="93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N</w:t>
            </w:r>
          </w:p>
        </w:tc>
        <w:tc>
          <w:tcPr>
            <w:tcW w:type="dxa" w:w="93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Positive</w:t>
            </w:r>
          </w:p>
        </w:tc>
        <w:tc>
          <w:tcPr>
            <w:tcW w:type="dxa" w:w="108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Folds / groups</w:t>
            </w:r>
          </w:p>
        </w:tc>
        <w:tc>
          <w:tcPr>
            <w:tcW w:type="dxa" w:w="2448"/>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AUROC (95% interval)</w:t>
            </w:r>
          </w:p>
        </w:tc>
        <w:tc>
          <w:tcPr>
            <w:tcW w:type="dxa" w:w="147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Cal. intercept</w:t>
            </w:r>
          </w:p>
        </w:tc>
        <w:tc>
          <w:tcPr>
            <w:tcW w:type="dxa" w:w="147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Cal. slope</w:t>
            </w:r>
          </w:p>
        </w:tc>
      </w:tr>
      <w:tr>
        <w:trPr>
          <w:cantSplit/>
        </w:trPr>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Low bone mass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Person-grouped</w:t>
            </w:r>
          </w:p>
        </w:tc>
        <w:tc>
          <w:tcPr>
            <w:tcW w:type="dxa" w:w="1872"/>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Native boosting, 50 predictors</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6,567</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615</w:t>
            </w:r>
          </w:p>
        </w:tc>
        <w:tc>
          <w:tcPr>
            <w:tcW w:type="dxa" w:w="10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w:t>
            </w:r>
          </w:p>
        </w:tc>
        <w:tc>
          <w:tcPr>
            <w:tcW w:type="dxa" w:w="244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0.840 (0.826–0.854)</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-0.064</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0.841</w:t>
            </w:r>
          </w:p>
        </w:tc>
      </w:tr>
      <w:tr>
        <w:trPr>
          <w:cantSplit/>
        </w:trPr>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Low bone mass</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Screening-group held out</w:t>
            </w:r>
          </w:p>
        </w:tc>
        <w:tc>
          <w:tcPr>
            <w:tcW w:type="dxa" w:w="1872"/>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Native boosting, 50 predictors</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4,173</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343</w:t>
            </w:r>
          </w:p>
        </w:tc>
        <w:tc>
          <w:tcPr>
            <w:tcW w:type="dxa" w:w="10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8</w:t>
            </w:r>
          </w:p>
        </w:tc>
        <w:tc>
          <w:tcPr>
            <w:tcW w:type="dxa" w:w="244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0.795 (0.769–0.819)</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0.185</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0.962</w:t>
            </w:r>
          </w:p>
        </w:tc>
      </w:tr>
      <w:tr>
        <w:trPr>
          <w:cantSplit/>
        </w:trPr>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Prostate echotexture</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Person-grouped</w:t>
            </w:r>
          </w:p>
        </w:tc>
        <w:tc>
          <w:tcPr>
            <w:tcW w:type="dxa" w:w="1872"/>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Native boosting, 50 predictors</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5,809</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595</w:t>
            </w:r>
          </w:p>
        </w:tc>
        <w:tc>
          <w:tcPr>
            <w:tcW w:type="dxa" w:w="10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w:t>
            </w:r>
          </w:p>
        </w:tc>
        <w:tc>
          <w:tcPr>
            <w:tcW w:type="dxa" w:w="244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0.869 (0.854–0.882)</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-0.014</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0.838</w:t>
            </w:r>
          </w:p>
        </w:tc>
      </w:tr>
      <w:tr>
        <w:trPr>
          <w:cantSplit/>
        </w:trPr>
        <w:tc>
          <w:tcPr>
            <w:tcW w:type="dxa" w:w="165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Prostate echotexture</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Screening-group held out</w:t>
            </w:r>
          </w:p>
        </w:tc>
        <w:tc>
          <w:tcPr>
            <w:tcW w:type="dxa" w:w="1872"/>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Native boosting, 50 predictors</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1,816</w:t>
            </w:r>
          </w:p>
        </w:tc>
        <w:tc>
          <w:tcPr>
            <w:tcW w:type="dxa" w:w="93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246</w:t>
            </w:r>
          </w:p>
        </w:tc>
        <w:tc>
          <w:tcPr>
            <w:tcW w:type="dxa" w:w="108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4</w:t>
            </w:r>
          </w:p>
        </w:tc>
        <w:tc>
          <w:tcPr>
            <w:tcW w:type="dxa" w:w="244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0.748 (0.696–0.799)</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0.413</w:t>
            </w:r>
          </w:p>
        </w:tc>
        <w:tc>
          <w:tcPr>
            <w:tcW w:type="dxa" w:w="14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0.826</w:t>
            </w:r>
          </w:p>
        </w:tc>
      </w:tr>
    </w:tbl>
    <w:p>
      <w:pPr>
        <w:spacing w:before="140"/>
      </w:pPr>
      <w:r>
        <w:rPr>
          <w:rFonts w:ascii="Arial" w:hAnsi="Arial"/>
          <w:color w:val="000000"/>
        </w:rPr>
        <w:t>For screening groups evaluable in both full and first-record cohorts, mean native-boosting AUROC changed from 0.763 to 0.795 for low bone mass and from 0.795 to 0.748 for prostate echotexture. These comparisons combine changes in training sample, prevalence and first-record case mix and do not isolate repeat-attendance bias. The 49-predictor imputed candidates produced first-record screening-group mean AUROCs of 0.758 and 0.756, with pooled calibration slopes of 0.987 and 0.867, respectively.</w:t>
      </w:r>
    </w:p>
    <w:p>
      <w:pPr>
        <w:pStyle w:val="Heading1"/>
      </w:pPr>
      <w:r>
        <w:rPr>
          <w:rFonts w:ascii="Arial" w:hAnsi="Arial"/>
          <w:color w:val="000000"/>
        </w:rPr>
        <w:t>4. Reproducibility and provenance</w:t>
      </w:r>
    </w:p>
    <w:p>
      <w:pPr>
        <w:pStyle w:val="ListBullet"/>
      </w:pPr>
      <w:r>
        <w:rPr>
          <w:rFonts w:ascii="Arial" w:hAnsi="Arial"/>
          <w:color w:val="000000"/>
        </w:rPr>
        <w:t>The supplied research archive contains source code, a minimum-version requirements file, tables, predictions, figures and model cards.</w:t>
      </w:r>
    </w:p>
    <w:p>
      <w:pPr>
        <w:pStyle w:val="ListBullet"/>
      </w:pPr>
      <w:r>
        <w:rPr>
          <w:rFonts w:ascii="Arial" w:hAnsi="Arial"/>
          <w:color w:val="000000"/>
        </w:rPr>
        <w:t>The manuscript reports that earlier revision audits reproduced all 12 target counts and saved AUROCs for 11 screening-group-held-out targets. Those revision audit scripts are not included in the received archive; this statement describes the reported prior work, not a new reproduction.</w:t>
      </w:r>
    </w:p>
    <w:p>
      <w:pPr>
        <w:pStyle w:val="ListBullet"/>
      </w:pPr>
      <w:r>
        <w:rPr>
          <w:rFonts w:ascii="Arial" w:hAnsi="Arial"/>
          <w:color w:val="000000"/>
        </w:rPr>
        <w:t>The supplied manuscript reports refitting the two headline endpoints in full and first-record cohorts using Python 3.12.14 and scikit-learn 1.8.0. The corresponding revision scripts and fold-level outputs are not included in the received archive.</w:t>
      </w:r>
    </w:p>
    <w:p>
      <w:pPr>
        <w:pStyle w:val="ListBullet"/>
      </w:pPr>
      <w:r>
        <w:rPr>
          <w:rFonts w:ascii="Arial" w:hAnsi="Arial"/>
          <w:color w:val="000000"/>
        </w:rPr>
        <w:t>Refit estimates are reported separately from historical saved-prediction estimates because the original exact software environment was not pinned.</w:t>
      </w:r>
    </w:p>
    <w:p>
      <w:pPr>
        <w:pStyle w:val="ListBullet"/>
      </w:pPr>
      <w:r>
        <w:rPr>
          <w:rFonts w:ascii="Arial" w:hAnsi="Arial"/>
          <w:color w:val="000000"/>
        </w:rPr>
        <w:t>Conditional intervals based on fixed predictions quantify uncertainty in the observed evaluation sample; they do not include model-selection uncertainty, refitting uncertainty, or variation across future organisations.</w:t>
      </w:r>
    </w:p>
    <w:p>
      <w:pPr>
        <w:pStyle w:val="Heading1"/>
      </w:pPr>
      <w:r>
        <w:rPr>
          <w:rFonts w:ascii="Arial" w:hAnsi="Arial"/>
          <w:color w:val="000000"/>
        </w:rPr>
        <w:t>5. Accompanying machine-readable files</w:t>
      </w:r>
    </w:p>
    <w:p>
      <w:r>
        <w:rPr>
          <w:rFonts w:ascii="Arial" w:hAnsi="Arial"/>
          <w:color w:val="000000"/>
        </w:rPr>
        <w:t>S2_identity_audit.csv, S2_VTD3_audit.csv and S2_first_record_results.csv transcribe the summary tables in this supplement. They are not regenerated analysis outputs. S2_historical_calibration.csv contains selected historical 50-predictor native-boosting results from results/tables/main_results.csv, retaining source precision.</w:t>
      </w:r>
    </w:p>
    <w:p>
      <w:r>
        <w:rPr>
          <w:rFonts w:ascii="Arial" w:hAnsi="Arial"/>
          <w:color w:val="000000"/>
        </w:rPr>
        <w:t>For the first-record table, person-grouped AUROC is pooled; screening-group-held-out AUROC is the equal-weight mean across eligible groups. Calibration intercept and slope are jointly estimated on pooled held-out predictions. Reported intervals are conditional on fixed predictions and do not include refitting uncertainty.</w:t>
      </w:r>
    </w:p>
    <w:p>
      <w:pPr>
        <w:pStyle w:val="Heading1"/>
      </w:pPr>
      <w:r>
        <w:rPr>
          <w:rFonts w:ascii="Arial" w:hAnsi="Arial"/>
          <w:color w:val="000000"/>
        </w:rPr>
        <w:t>6 Historical full-panel calibration</w:t>
      </w:r>
    </w:p>
    <w:p>
      <w:r>
        <w:rPr>
          <w:rFonts w:ascii="Arial" w:hAnsi="Arial"/>
          <w:color w:val="000000"/>
        </w:rPr>
        <w:t>These historical results use 50-predictor native boosting and pooled held-out predictions. They are distinct from the first-record refits above and the 49-predictor candidates. The intercept is estimated jointly with the slope, not a separate intercept-only calibration-in-the-large estimate. ECE is the weighted absolute observed-minus-predicted difference over ten prediction-quantile bins, as implemented in src/evaluate.py; no uncertainty intervals are 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1440"/>
        <w:gridCol w:w="1440"/>
        <w:gridCol w:w="1872"/>
        <w:gridCol w:w="1872"/>
        <w:gridCol w:w="1872"/>
        <w:gridCol w:w="1872"/>
      </w:tblGrid>
      <w:tr>
        <w:trPr>
          <w:cantSplit/>
          <w:tblHeader/>
        </w:trPr>
        <w:tc>
          <w:tcPr>
            <w:tcW w:type="dxa" w:w="2232"/>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Endpoint</w:t>
            </w:r>
          </w:p>
        </w:tc>
        <w:tc>
          <w:tcPr>
            <w:tcW w:type="dxa" w:w="2376"/>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Design</w:t>
            </w:r>
          </w:p>
        </w:tc>
        <w:tc>
          <w:tcPr>
            <w:tcW w:type="dxa" w:w="1440"/>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Visits</w:t>
            </w:r>
          </w:p>
        </w:tc>
        <w:tc>
          <w:tcPr>
            <w:tcW w:type="dxa" w:w="1440"/>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Positive</w:t>
            </w:r>
          </w:p>
        </w:tc>
        <w:tc>
          <w:tcPr>
            <w:tcW w:type="dxa" w:w="1872"/>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Intercept</w:t>
            </w:r>
          </w:p>
        </w:tc>
        <w:tc>
          <w:tcPr>
            <w:tcW w:type="dxa" w:w="1872"/>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Slope</w:t>
            </w:r>
          </w:p>
        </w:tc>
        <w:tc>
          <w:tcPr>
            <w:tcW w:type="dxa" w:w="1872"/>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Brier</w:t>
            </w:r>
          </w:p>
        </w:tc>
        <w:tc>
          <w:tcPr>
            <w:tcW w:type="dxa" w:w="1872"/>
            <w:vAlign w:val="cente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ECE</w:t>
            </w:r>
          </w:p>
        </w:tc>
      </w:tr>
      <w:tr>
        <w:trPr>
          <w:cantSplit/>
        </w:trPr>
        <w:tc>
          <w:tcPr>
            <w:tcW w:type="dxa" w:w="223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Low bone mass</w:t>
            </w:r>
          </w:p>
        </w:tc>
        <w:tc>
          <w:tcPr>
            <w:tcW w:type="dxa" w:w="2376"/>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Identity-grouped</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20238</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2726</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-0.1069</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0.8979</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0.1044</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0.0137</w:t>
            </w:r>
          </w:p>
        </w:tc>
      </w:tr>
      <w:tr>
        <w:trPr>
          <w:cantSplit/>
        </w:trPr>
        <w:tc>
          <w:tcPr>
            <w:tcW w:type="dxa" w:w="223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Low bone mass</w:t>
            </w:r>
          </w:p>
        </w:tc>
        <w:tc>
          <w:tcPr>
            <w:tcW w:type="dxa" w:w="2376"/>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Group-held-out</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15404</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2086</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-0.1858</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0.8285</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0.1065</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0.0199</w:t>
            </w:r>
          </w:p>
        </w:tc>
      </w:tr>
      <w:tr>
        <w:trPr>
          <w:cantSplit/>
        </w:trPr>
        <w:tc>
          <w:tcPr>
            <w:tcW w:type="dxa" w:w="223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Low bone mass</w:t>
            </w:r>
          </w:p>
        </w:tc>
        <w:tc>
          <w:tcPr>
            <w:tcW w:type="dxa" w:w="2376"/>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Temporal</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5670</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1193</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-0.3174</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0.4222</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0.1715</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0.1010</w:t>
            </w:r>
          </w:p>
        </w:tc>
      </w:tr>
      <w:tr>
        <w:trPr>
          <w:cantSplit/>
        </w:trPr>
        <w:tc>
          <w:tcPr>
            <w:tcW w:type="dxa" w:w="223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Prostate echotexture</w:t>
            </w:r>
          </w:p>
        </w:tc>
        <w:tc>
          <w:tcPr>
            <w:tcW w:type="dxa" w:w="2376"/>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Identity-grouped</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13921</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2038</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0.0178</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0.9544</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0.0970</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0.0111</w:t>
            </w:r>
          </w:p>
        </w:tc>
      </w:tr>
      <w:tr>
        <w:trPr>
          <w:cantSplit/>
        </w:trPr>
        <w:tc>
          <w:tcPr>
            <w:tcW w:type="dxa" w:w="223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Prostate echotexture</w:t>
            </w:r>
          </w:p>
        </w:tc>
        <w:tc>
          <w:tcPr>
            <w:tcW w:type="dxa" w:w="2376"/>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Group-held-out</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8203</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1355</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0.2629</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0.8372</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0.1150</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0.0492</w:t>
            </w:r>
          </w:p>
        </w:tc>
      </w:tr>
      <w:tr>
        <w:trPr>
          <w:cantSplit/>
        </w:trPr>
        <w:tc>
          <w:tcPr>
            <w:tcW w:type="dxa" w:w="223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Prostate echotexture</w:t>
            </w:r>
          </w:p>
        </w:tc>
        <w:tc>
          <w:tcPr>
            <w:tcW w:type="dxa" w:w="2376"/>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Temporal</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4228</w:t>
            </w:r>
          </w:p>
        </w:tc>
        <w:tc>
          <w:tcPr>
            <w:tcW w:type="dxa" w:w="1440"/>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1155</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0.4119</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0.5157</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0.2081</w:t>
            </w:r>
          </w:p>
        </w:tc>
        <w:tc>
          <w:tcPr>
            <w:tcW w:type="dxa" w:w="1872"/>
            <w:vAlign w:val="cente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0.1655</w:t>
            </w:r>
          </w:p>
        </w:tc>
      </w:tr>
    </w:tbl>
    <w:sectPr w:rsidR="00FC693F" w:rsidRPr="0006063C" w:rsidSect="00034616">
      <w:pgSz w:w="16848" w:h="11952"/>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eastAsia="DejaVu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DejaVu San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2. Identity audit, VT D3 investigation and first-record sensitivity analyses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