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Additional file 3 TRIPOD AI reporting checklist</w:t>
      </w:r>
    </w:p>
    <w:p>
      <w:r>
        <w:rPr>
          <w:rFonts w:ascii="Arial" w:hAnsi="Arial"/>
          <w:color w:val="000000"/>
        </w:rPr>
        <w:t>Reporting map for the supplied revised manuscript. Topic labels are abbreviated; statuses describe the available reporting and do not certify full adherence. Stable section names are used because final pagination may change. Missing author facts and unavailable analysis materials remain explicit.</w:t>
      </w:r>
    </w:p>
    <w:p>
      <w:r>
        <w:rPr>
          <w:rFonts w:ascii="Arial" w:hAnsi="Arial"/>
          <w:color w:val="000000"/>
        </w:rPr>
        <w:t>Source: Collins et al. BMJ 2024;385:e078378. Official checklist dated 11 January 2024: https://www.tripod-statement.org/wp-content/uploads/2019/12/TRIPODAI_checklist.pdf. Consult that checklist for the full item wording. D/E scope: this manuscript includes development and evaluation.</w:t>
      </w:r>
    </w:p>
    <w:p>
      <w:pPr>
        <w:pStyle w:val="Heading1"/>
      </w:pPr>
      <w:r>
        <w:rPr>
          <w:rFonts w:ascii="Arial" w:hAnsi="Arial"/>
          <w:color w:val="000000"/>
        </w:rPr>
        <w:t>Identification and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800"/>
        <w:gridCol w:w="1044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Item and topic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Location and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Study identification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Title identifies development and evaluation, occupational screening and Iran; the retrospective design is stated in Methods, not explicitly in the title.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 Abstract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Abstract — Structured summary includes sources, modelling, endpoints and performance; exact accrual dates and centres remain unverified.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3a Clinical rationale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Background — Routine measurements are assessed for prediction of additional recorded screening findings.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3b Intended use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Background; Implications for further evaluation — Clinician-supported prioritisation after core measurements; no autonomous referral use.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3c Existing inequalities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Calibration and exploratory decision analysis; Discussion — Observed sex/age and screening-group differences are reported; broader inequalities were not characterised.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Aims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Background — Development plus person, screening-group and temporal evaluation.</w:t>
            </w:r>
          </w:p>
        </w:tc>
      </w:tr>
    </w:tbl>
    <w:p>
      <w:pPr>
        <w:spacing w:before="140"/>
      </w:pPr>
    </w:p>
    <w:p>
      <w:pPr>
        <w:pStyle w:val="Heading1"/>
      </w:pPr>
      <w:r>
        <w:rPr>
          <w:rFonts w:ascii="Arial" w:hAnsi="Arial"/>
          <w:color w:val="000000"/>
        </w:rPr>
        <w:t>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800"/>
        <w:gridCol w:w="1044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Item and topic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Location and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5a Data origins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design, setting, and data source; Data acquisition — Routine occupational, laboratory and imaging records; all evaluation partitions arise from one programme.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5b Dates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design, setting, and data source — Programme years 1398–1405; exact accrual bounds require source verification.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6a Setting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design, setting, and data source — Iranian occupational programme; geography and physical centre count await authors.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6b Eligibility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design; Outcomes; Models and validation — All source visits retained; target-specific observed labels and sex restrictions; fold eligibility thresholds stated.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6c Treatment context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Identity and VT D3 audit findings; Limitations — Supplement use, previous treatment and indications were not available for this audit.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7 Preprocessing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harmonisation; Additional file 1: code-checked sentinel patterns, conversion, ranges and category coalescence are described. Original manual-review accuracy remains unverified.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8a Endpoint specification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Outcomes; Table 2; Additional file 1 — Twelve same-visit recorded outcomes fully mapped; clinical adjudication and uniformity of assessment remain unverified.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8b Outcome assessors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Limitations — Reader qualifications and demographic characteristics not supplied.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8c Outcome masking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Limitations — Blinding of routine report readers to laboratory information not documented.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9a Predictor choice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Predictors and missing data — Routine 50-variable panel, nested feature blocks and post hoc VT D3 exclusion distinguished.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9b Predictor specification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Predictors; Additional file 1 — All names, coding and transformations supplied; units are inferred and measurement timing is unverified.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9c Predictor assessors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acquisition — Clinic/laboratory staff entered measurements; individual qualifications and assessor demographics unavailable.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Sample justification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design; Additional file 2 — Available-export basis and event counts reported; no formal adequacy calculation.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11 Missingness handling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Predictors and missing data; Additional file 1 — Target-specific label exclusion; training-fold imputation or native missing handling.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12a Partition strategy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validation; Additional file 2 — Outer partitions and identity exclusions documented; first-record sensitivity retrained.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12b Predictor treatment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Predictors; Additional file 1 — Numeric variables, indicator, derived measures, ranges and within-fold standardisation documented.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12c Model fitting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 — Fixed logistic and histogram-boosting settings, seed and early stopping reported.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12d Cluster variation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Performance measures; Tables 6 and 8 — Equal-weight group AUROC and between-group SD, plus pooled metrics.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12e Performance assessment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Performance measures; Additional file 2 — AUROC, precision–recall, calibration, Brier score and exploratory net benefit.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12f Updating methods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applicable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 — No recalibration or model updating was performed.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12g Prediction calculation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validation; Additional file 2 — Held-out predict_proba outputs; candidate model and source code roles distinguished.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13 Class handling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 — No oversampling, undersampling or class weighting used.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14 Fairness approach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Calibration and exploratory decision analysis — Descriptive age/sex assessments; no fairness optimisation or sufficiently precise intersectional assessment.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 Outputs and cutoffs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Exploratory candidate models and operating points — Probabilities; median of retrospectively selected group thresholds; no independent policy validation.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 Partition differences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validation; Tables 8 and 9; Additional file 2 — Period, group, prevalence and eligible-group changes reported; full distributions for all partitions not supplied.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17 Ethics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Awaiting authors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Declarations — Committee, approval/waiver and consent details remain explicit placeholders.</w:t>
            </w:r>
          </w:p>
        </w:tc>
      </w:tr>
    </w:tbl>
    <w:p>
      <w:pPr>
        <w:spacing w:before="140"/>
      </w:pPr>
    </w:p>
    <w:p>
      <w:pPr>
        <w:pStyle w:val="Heading1"/>
      </w:pPr>
      <w:r>
        <w:rPr>
          <w:rFonts w:ascii="Arial" w:hAnsi="Arial"/>
          <w:color w:val="000000"/>
        </w:rPr>
        <w:t>Open science and involvement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800"/>
        <w:gridCol w:w="1044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Item and topic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Location and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18a Support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Awaiting authors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Declarations — Funding and funder role not confirmed.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18b Interests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Awaiting authors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Declarations — Each author must supply financial and nonfinancial declarations.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18c Protocol access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 — No protocol was supplied; absence of a supplied protocol does not establish that none exists.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18d Registration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Study design — No registration record was supplied; author confirmation needed.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18e Data access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Awaiting authors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Declarations — Custodian, restrictions and approved access route not confirmed.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18f Code access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Declarations; Additional file 2: original source code is present in the received archive. Later revision scripts, an approved repository and licence are not supplied.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19 Public involvement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Awaiting authors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Declarations — Actual involvement or confirmed absence must be supplied.</w:t>
            </w:r>
          </w:p>
        </w:tc>
      </w:tr>
    </w:tbl>
    <w:p>
      <w:pPr>
        <w:spacing w:before="140"/>
      </w:pPr>
    </w:p>
    <w:p>
      <w:pPr>
        <w:pStyle w:val="Heading1"/>
      </w:pPr>
      <w:r>
        <w:rPr>
          <w:rFonts w:ascii="Arial" w:hAnsi="Arial"/>
          <w:color w:val="000000"/>
        </w:rPr>
        <w:t>Results and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800"/>
        <w:gridCol w:w="1044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Item and topic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BE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/>
                <w:color w:val="000000"/>
                <w:sz w:val="18"/>
              </w:rPr>
              <w:t>Location and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20a Participant flow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Cohort and outcome availability; Table 4; Additional file 2: visit and outcome counts reported; true-person counts and upstream linkage denominators unavailable.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20b Cohort description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Table 3; Table 4; Additional file 1 — Demographic, event and predictor availability summaries reported; treatments and centre-specific characteristics incomplete.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20c Population comparisons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Pooled, within-group, and temporal performance; Additional file 2 — Prevalence and group eligibility reported; exhaustive predictor distributions across all train/test folds not supplied.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21 Analysis denominators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Tables 4, 6, 8 and 11; Additional file 2 give aggregate sample and event counts. The referenced sensitivity_folds.csv is not in the received archive; revision-fold training/test event counts cannot be verified.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22 Model reproducibility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validation; Additional file 1 — Original candidate objects exist in project; public reuse permissions and a pinned original environment remain unresolved.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23a Performance uncertainty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Tables 6-9 and 11; Figures 1-2; Additional file 2: conditional AUROC intervals reported. Historical calibration intercept, slope, Brier and ECE are tabulated without intervals; subgroup uncertainty remains incomplete.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23b Cluster performance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Table 6; Figure 1; Additional file 2 — Between-group variation and first-record eligible-group changes reported.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Updating results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applicable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 and validation — No updated or recalibrated model claimed.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Interpretation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Discussion — Prior work, selective testing, heterogeneity and subgroup limitations discussed.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26 Study weaknesses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Strengths and limitations — Identity errors, label validity, timing, missingness, post hoc analyses and limited transportability addressed.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27a Input quality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Additional file 1; Implications for further evaluation — Range checks and missing-value processing supplied; operational monitoring not validated.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27b User requirements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Implications for further evaluation — Clinician-supported prioritisation is proposed; required training and the operational workflow remain unspecified.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27c Further evaluation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Reported</w:t>
            </w:r>
          </w:p>
        </w:tc>
        <w:tc>
          <w:tcPr>
            <w:tcW w:type="dxa" w:w="10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line="240" w:lineRule="auto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Implications for further evaluation; Conclusions — True-ID reanalysis, source adjudication, frozen thresholds and prospective silent evaluation proposed.</w:t>
            </w:r>
          </w:p>
        </w:tc>
      </w:tr>
    </w:tbl>
    <w:p>
      <w:pPr>
        <w:spacing w:before="140"/>
      </w:pPr>
    </w:p>
    <w:sectPr w:rsidR="00FC693F" w:rsidRPr="0006063C" w:rsidSect="00034616">
      <w:footerReference w:type="default" r:id="rId9"/>
      <w:pgSz w:w="16848" w:h="11952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Additional file 3 TRIPOD AI reporting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