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2" w:lineRule="auto" w:after="80"/>
        <w:jc w:val="center"/>
      </w:pPr>
      <w:r>
        <w:rPr>
          <w:rFonts w:ascii="Arial" w:hAnsi="Arial"/>
          <w:color w:val="000000"/>
        </w:rPr>
        <w:t>Additional file 5. PROBAST+AI development and evaluation self-assessment</w:t>
      </w:r>
    </w:p>
    <w:p>
      <w:pPr>
        <w:spacing w:line="252" w:lineRule="auto" w:after="80"/>
        <w:jc w:val="center"/>
      </w:pPr>
      <w:r>
        <w:rPr>
          <w:rFonts w:ascii="Arial" w:hAnsi="Arial"/>
          <w:i/>
          <w:color w:val="000000"/>
          <w:sz w:val="19"/>
        </w:rPr>
        <w:t>Evidence-based appraisal for the intended use of clinical screening prioritisation</w:t>
      </w:r>
    </w:p>
    <w:p>
      <w:pPr>
        <w:spacing w:line="252" w:lineRule="auto" w:after="80"/>
      </w:pPr>
      <w:r>
        <w:rPr>
          <w:rFonts w:ascii="Arial" w:hAnsi="Arial"/>
          <w:color w:val="000000"/>
        </w:rPr>
        <w:t>This domain-level study-team self-assessment summarises development quality, evaluation risk of bias and applicability. It is not an independent external appraisal or a completed item-by-item PROBAST+AI signalling-question form. Judgements concern prospective clinical triage and retain the limitations described in the manuscript.</w:t>
      </w:r>
    </w:p>
    <w:p>
      <w:pPr>
        <w:pStyle w:val="Heading1"/>
        <w:spacing w:line="252" w:lineRule="auto" w:after="80"/>
      </w:pPr>
      <w:r>
        <w:rPr>
          <w:rFonts w:ascii="Arial" w:hAnsi="Arial"/>
          <w:color w:val="000000"/>
        </w:rPr>
        <w:t>1. Assessment scope</w:t>
      </w:r>
    </w:p>
    <w:p>
      <w:pPr>
        <w:spacing w:line="252" w:lineRule="auto" w:after="80"/>
      </w:pPr>
      <w:r>
        <w:rPr>
          <w:rFonts w:ascii="Arial" w:hAnsi="Arial"/>
          <w:color w:val="000000"/>
        </w:rPr>
        <w:t>Intended use assessed: clinician-supported prioritisation of additional occupational-health screening tests after routine measurements, not autonomous diagnosis or referral. The study reports both model development and performance evaluation. Because the proposed use is prospective clinical triage, applicability is judged against that intended use rather than only against the retrospective descriptive research question.</w:t>
      </w:r>
    </w:p>
    <w:p>
      <w:pPr>
        <w:pStyle w:val="Heading1"/>
        <w:spacing w:line="252" w:lineRule="auto" w:after="80"/>
      </w:pPr>
      <w:r>
        <w:rPr>
          <w:rFonts w:ascii="Arial" w:hAnsi="Arial"/>
          <w:color w:val="000000"/>
        </w:rPr>
        <w:t>2. Model development: quality and applicability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016"/>
        <w:gridCol w:w="1800"/>
        <w:gridCol w:w="8928"/>
      </w:tblGrid>
      <w:tr>
        <w:trPr>
          <w:tblHeader w:val="true"/>
          <w:cantSplit/>
        </w:trPr>
        <w:tc>
          <w:tcPr>
            <w:tcW w:type="dxa" w:w="237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Domain</w:t>
            </w:r>
          </w:p>
        </w:tc>
        <w:tc>
          <w:tcPr>
            <w:tcW w:type="dxa" w:w="201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Development quality</w:t>
            </w:r>
          </w:p>
        </w:tc>
        <w:tc>
          <w:tcPr>
            <w:tcW w:type="dxa" w:w="180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Applicability</w:t>
            </w:r>
          </w:p>
        </w:tc>
        <w:tc>
          <w:tcPr>
            <w:tcW w:type="dxa" w:w="8928"/>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Evidence / rationale</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Participants and data sources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Single routine programme; incomplete physical-site and exact accrual information; selective availability of outcome modules; person identity reconstructed from birth date and sex because the upstream anonymous identifier was unavailable.</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Predictors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Predictors were routinely collected and processed consistently, but within-visit timing before additional-test ordering was unavailable. Missingness may encode workflow. VT D3 showed strong batch/group sensitivity and its assay identity/units were not independently verified.</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Outcome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Twelve endpoints were derived from routine source categories rather than independent adjudication. Several are imaging descriptors rather than definitive diagnoses; category dictionaries and measurement standardisation are incomplete.</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Analysis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Available-data sample size rather than prospective precision calculation; post hoc candidate-model choice and VT D3 exclusion; common thresholds selected and summarised in the same retrospective group collection; exact original software environment not pinned; internal early-stopping split was not explicitly grouped by identity.</w:t>
            </w:r>
          </w:p>
        </w:tc>
      </w:tr>
    </w:tbl>
    <w:p>
      <w:pPr>
        <w:spacing w:before="140" w:line="252" w:lineRule="auto" w:after="80"/>
      </w:pPr>
      <w:r>
        <w:rPr>
          <w:rFonts w:ascii="Arial" w:hAnsi="Arial"/>
          <w:b/>
          <w:color w:val="000000"/>
        </w:rPr>
        <w:t xml:space="preserve">Overall development judgment: </w:t>
      </w:r>
      <w:r>
        <w:rPr>
          <w:rFonts w:ascii="Arial" w:hAnsi="Arial"/>
          <w:color w:val="000000"/>
        </w:rPr>
        <w:t>High concern for direct clinical triage use. The work is suitable as exploratory model development, but key aspects of linkage, prospective predictor availability, endpoint validity and threshold selection require stronger prespecification and validation before deployment.</w:t>
      </w:r>
    </w:p>
    <w:p>
      <w:pPr>
        <w:pStyle w:val="Heading1"/>
        <w:spacing w:line="252" w:lineRule="auto" w:after="80"/>
      </w:pPr>
      <w:r>
        <w:rPr>
          <w:rFonts w:ascii="Arial" w:hAnsi="Arial"/>
          <w:color w:val="000000"/>
        </w:rPr>
        <w:t>3. Model evaluation: risk of bias and applicability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016"/>
        <w:gridCol w:w="1800"/>
        <w:gridCol w:w="8928"/>
      </w:tblGrid>
      <w:tr>
        <w:trPr>
          <w:tblHeader w:val="true"/>
          <w:cantSplit/>
        </w:trPr>
        <w:tc>
          <w:tcPr>
            <w:tcW w:type="dxa" w:w="237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Domain</w:t>
            </w:r>
          </w:p>
        </w:tc>
        <w:tc>
          <w:tcPr>
            <w:tcW w:type="dxa" w:w="2016"/>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Evaluation risk of bias</w:t>
            </w:r>
          </w:p>
        </w:tc>
        <w:tc>
          <w:tcPr>
            <w:tcW w:type="dxa" w:w="1800"/>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Applicability</w:t>
            </w:r>
          </w:p>
        </w:tc>
        <w:tc>
          <w:tcPr>
            <w:tcW w:type="dxa" w:w="8928"/>
            <w:vAlign w:val="center"/>
            <w:tcMar>
              <w:top w:w="80" w:type="dxa"/>
              <w:start w:w="80" w:type="dxa"/>
              <w:bottom w:w="80" w:type="dxa"/>
              <w:end w:w="80" w:type="dxa"/>
            </w:tcMar>
            <w:shd w:fill="E8EBED"/>
            <w:tcMar>
              <w:top w:w="70" w:type="dxa"/>
              <w:bottom w:w="70" w:type="dxa"/>
              <w:left w:w="70" w:type="dxa"/>
              <w:right w:w="70" w:type="dxa"/>
            </w:tcMar>
          </w:tcPr>
          <w:p>
            <w:pPr>
              <w:keepNext w:val="0"/>
              <w:spacing w:after="40" w:before="40" w:line="240" w:lineRule="auto"/>
            </w:pPr>
            <w:r>
              <w:rPr>
                <w:rFonts w:ascii="Arial" w:hAnsi="Arial"/>
                <w:b/>
                <w:color w:val="000000"/>
                <w:sz w:val="18"/>
              </w:rPr>
              <w:t>Evidence / rationale</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Participants and data sources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risk</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Evaluation partitions improve on random splitting by holding out reconstructed persons, screening groups or later years, but all data arise from one programme. Selective module testing and unresolved person linkage can bias performance and limit transportability.</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Predictors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risk</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Predictor processing was applied consistently, but prospective availability was not verified. Missingness can carry operational information, and VT D3 demonstrated group/batch dependence. Predictor measurement may differ across time or organisations.</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Outcome</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risk</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concern</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Outcome labels were not independently clinically adjudicated and were available selectively. Low bone mass uses exported categories; prostate echotexture is a descriptive imaging label. Several endpoints allow incomplete multi-field information or unrecognised-category uncertainty.</w:t>
            </w:r>
          </w:p>
        </w:tc>
      </w:tr>
      <w:tr>
        <w:trPr>
          <w:cantSplit/>
        </w:trPr>
        <w:tc>
          <w:tcPr>
            <w:tcW w:type="dxa" w:w="237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Analysis</w:t>
            </w:r>
          </w:p>
        </w:tc>
        <w:tc>
          <w:tcPr>
            <w:tcW w:type="dxa" w:w="2016"/>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High risk</w:t>
            </w:r>
          </w:p>
        </w:tc>
        <w:tc>
          <w:tcPr>
            <w:tcW w:type="dxa" w:w="1800"/>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w:t>
            </w:r>
          </w:p>
        </w:tc>
        <w:tc>
          <w:tcPr>
            <w:tcW w:type="dxa" w:w="8928"/>
            <w:vAlign w:val="center"/>
            <w:tcMar>
              <w:top w:w="80" w:type="dxa"/>
              <w:start w:w="80" w:type="dxa"/>
              <w:bottom w:w="80" w:type="dxa"/>
              <w:end w:w="80" w:type="dxa"/>
            </w:tcMar>
            <w:shd w:fill="FFFFFF"/>
            <w:tcMar>
              <w:top w:w="70" w:type="dxa"/>
              <w:bottom w:w="70" w:type="dxa"/>
              <w:left w:w="70" w:type="dxa"/>
              <w:right w:w="70" w:type="dxa"/>
            </w:tcMar>
          </w:tcPr>
          <w:p>
            <w:pPr>
              <w:keepNext w:val="0"/>
              <w:spacing w:after="40" w:before="40" w:line="240" w:lineRule="auto"/>
            </w:pPr>
            <w:r>
              <w:rPr>
                <w:rFonts w:ascii="Arial" w:hAnsi="Arial"/>
                <w:b w:val="0"/>
                <w:color w:val="000000"/>
                <w:sz w:val="18"/>
              </w:rPr>
              <w:t>Person-, group- and temporal evaluations are informative, with discrimination, calibration and conditional bootstrap intervals reported. However, intervals condition on fixed predictions; sparse endpoints have few groups; subgroup uncertainty is incomplete; candidate thresholds were selected post hoc and were not validated in an untouched sample.</w:t>
            </w:r>
          </w:p>
        </w:tc>
      </w:tr>
    </w:tbl>
    <w:p>
      <w:pPr>
        <w:spacing w:before="140" w:line="252" w:lineRule="auto" w:after="80"/>
      </w:pPr>
      <w:r>
        <w:rPr>
          <w:rFonts w:ascii="Arial" w:hAnsi="Arial"/>
          <w:b/>
          <w:color w:val="000000"/>
        </w:rPr>
        <w:t xml:space="preserve">Overall evaluation judgment: </w:t>
      </w:r>
      <w:r>
        <w:rPr>
          <w:rFonts w:ascii="Arial" w:hAnsi="Arial"/>
          <w:color w:val="000000"/>
        </w:rPr>
        <w:t>High risk of bias for intended clinical triage. The principal drivers are selective outcome verification/label availability, uncertain endpoint validity, unresolved identity linkage, unverified predictor timing, and post hoc candidate/threshold selection. The temporal and group-held-out evaluations reveal important transportability limitations rather than resolving them.</w:t>
      </w:r>
    </w:p>
    <w:p>
      <w:pPr>
        <w:pStyle w:val="Heading1"/>
        <w:spacing w:line="252" w:lineRule="auto" w:after="80"/>
      </w:pPr>
      <w:r>
        <w:rPr>
          <w:rFonts w:ascii="Arial" w:hAnsi="Arial"/>
          <w:color w:val="000000"/>
        </w:rPr>
        <w:t>4. Features that strengthen the assessment</w:t>
      </w:r>
    </w:p>
    <w:p>
      <w:pPr>
        <w:pStyle w:val="ListBullet"/>
        <w:spacing w:line="252" w:lineRule="auto" w:after="80"/>
      </w:pPr>
      <w:r>
        <w:rPr>
          <w:rFonts w:ascii="Arial" w:hAnsi="Arial"/>
          <w:color w:val="000000"/>
        </w:rPr>
        <w:t>Outer evaluations explicitly hold out reconstructed identities, screening groups, or later programme years rather than relying only on random visit-level splits.</w:t>
      </w:r>
    </w:p>
    <w:p>
      <w:pPr>
        <w:pStyle w:val="ListBullet"/>
        <w:spacing w:line="252" w:lineRule="auto" w:after="80"/>
      </w:pPr>
      <w:r>
        <w:rPr>
          <w:rFonts w:ascii="Arial" w:hAnsi="Arial"/>
          <w:color w:val="000000"/>
        </w:rPr>
        <w:t>The manuscript reports pooled and within-group discrimination separately, calibration slopes/intercepts and Brier scores, and exploratory decision-curve calculations.</w:t>
      </w:r>
    </w:p>
    <w:p>
      <w:pPr>
        <w:pStyle w:val="ListBullet"/>
        <w:spacing w:line="252" w:lineRule="auto" w:after="80"/>
      </w:pPr>
      <w:r>
        <w:rPr>
          <w:rFonts w:ascii="Arial" w:hAnsi="Arial"/>
          <w:color w:val="000000"/>
        </w:rPr>
        <w:t>Conditional bootstrap intervals and paired feature/model comparisons were added during revision, with limitations of fixed-prediction resampling stated.</w:t>
      </w:r>
    </w:p>
    <w:p>
      <w:pPr>
        <w:pStyle w:val="ListBullet"/>
        <w:spacing w:line="252" w:lineRule="auto" w:after="80"/>
      </w:pPr>
      <w:r>
        <w:rPr>
          <w:rFonts w:ascii="Arial" w:hAnsi="Arial"/>
          <w:color w:val="000000"/>
        </w:rPr>
        <w:t>A first-record sensitivity analysis reduces repeat-attendee weighting and shows where group performance changes.</w:t>
      </w:r>
    </w:p>
    <w:p>
      <w:pPr>
        <w:pStyle w:val="ListBullet"/>
        <w:spacing w:line="252" w:lineRule="auto" w:after="80"/>
      </w:pPr>
      <w:r>
        <w:rPr>
          <w:rFonts w:ascii="Arial" w:hAnsi="Arial"/>
          <w:color w:val="000000"/>
        </w:rPr>
        <w:t>VT D3 was specifically audited rather than silently retained in the candidate models, and unresolved mechanism/timing limitations are acknowledged.</w:t>
      </w:r>
    </w:p>
    <w:p>
      <w:pPr>
        <w:pStyle w:val="Heading1"/>
        <w:pageBreakBefore/>
        <w:spacing w:line="252" w:lineRule="auto" w:after="80"/>
      </w:pPr>
      <w:r>
        <w:rPr>
          <w:rFonts w:ascii="Arial" w:hAnsi="Arial"/>
          <w:color w:val="000000"/>
        </w:rPr>
        <w:t>5. Actions required before clinical-use claims</w:t>
      </w:r>
    </w:p>
    <w:p>
      <w:pPr>
        <w:pStyle w:val="ListBullet"/>
        <w:spacing w:line="252" w:lineRule="auto" w:after="80"/>
      </w:pPr>
      <w:r>
        <w:rPr>
          <w:rFonts w:ascii="Arial" w:hAnsi="Arial"/>
          <w:color w:val="000000"/>
        </w:rPr>
        <w:t>Reconcile reconstructed identities against the retained upstream anonymous patient identifier and repeat grouped evaluations with the verified identifier.</w:t>
      </w:r>
    </w:p>
    <w:p>
      <w:pPr>
        <w:pStyle w:val="ListBullet"/>
        <w:spacing w:line="252" w:lineRule="auto" w:after="80"/>
      </w:pPr>
      <w:r>
        <w:rPr>
          <w:rFonts w:ascii="Arial" w:hAnsi="Arial"/>
          <w:color w:val="000000"/>
        </w:rPr>
        <w:t>Clinically adjudicate or prospectively redefine the primary endpoint(s), including explicit handling of age/sex context and incomplete source categories.</w:t>
      </w:r>
    </w:p>
    <w:p>
      <w:pPr>
        <w:pStyle w:val="ListBullet"/>
        <w:spacing w:line="252" w:lineRule="auto" w:after="80"/>
      </w:pPr>
      <w:r>
        <w:rPr>
          <w:rFonts w:ascii="Arial" w:hAnsi="Arial"/>
          <w:color w:val="000000"/>
        </w:rPr>
        <w:t>Verify that every predictor is available before the clinical decision being supported, including assay identity, units, ordering timestamps and missingness mechanisms.</w:t>
      </w:r>
    </w:p>
    <w:p>
      <w:pPr>
        <w:pStyle w:val="ListBullet"/>
        <w:spacing w:line="252" w:lineRule="auto" w:after="80"/>
      </w:pPr>
      <w:r>
        <w:rPr>
          <w:rFonts w:ascii="Arial" w:hAnsi="Arial"/>
          <w:color w:val="000000"/>
        </w:rPr>
        <w:t>Freeze the model and decision threshold before evaluation in an independent or prospectively collected sample; report group-specific sensitivity, calibration, missed findings and workload change.</w:t>
      </w:r>
    </w:p>
    <w:p>
      <w:pPr>
        <w:pStyle w:val="ListBullet"/>
        <w:spacing w:line="252" w:lineRule="auto" w:after="80"/>
      </w:pPr>
      <w:r>
        <w:rPr>
          <w:rFonts w:ascii="Arial" w:hAnsi="Arial"/>
          <w:color w:val="000000"/>
        </w:rPr>
        <w:t>Prespecify analysis and sample-size targets and retain a pinned, reproducible software environment.</w:t>
      </w:r>
    </w:p>
    <w:p>
      <w:pPr>
        <w:pStyle w:val="ListBullet"/>
        <w:spacing w:line="252" w:lineRule="auto" w:after="80"/>
      </w:pPr>
      <w:r>
        <w:rPr>
          <w:rFonts w:ascii="Arial" w:hAnsi="Arial"/>
          <w:color w:val="000000"/>
        </w:rPr>
        <w:t>Evaluate fairness and performance across relevant demographic and operational subgroups with uncertainty estimates before any intervention study.</w:t>
      </w:r>
    </w:p>
    <w:p>
      <w:pPr>
        <w:pStyle w:val="Heading1"/>
        <w:spacing w:line="252" w:lineRule="auto" w:after="80"/>
      </w:pPr>
      <w:r>
        <w:rPr>
          <w:rFonts w:ascii="Arial" w:hAnsi="Arial"/>
          <w:color w:val="000000"/>
        </w:rPr>
        <w:t>6. Reference</w:t>
      </w:r>
    </w:p>
    <w:p>
      <w:pPr>
        <w:spacing w:line="252" w:lineRule="auto" w:after="80"/>
      </w:pPr>
      <w:r>
        <w:rPr>
          <w:rFonts w:ascii="Arial" w:hAnsi="Arial"/>
          <w:color w:val="000000"/>
        </w:rPr>
        <w:t>Moons KGM, et al. PROBAST+AI: an updated quality, risk of bias, and applicability assessment tool for prediction models using regression or artificial intelligence methods. BMJ. 2025;388:e082505. doi:10.1136/bmj-2024-082505.</w:t>
      </w:r>
    </w:p>
    <w:sectPr w:rsidR="00FC693F" w:rsidRPr="0006063C" w:rsidSect="00034616">
      <w:pgSz w:w="16848" w:h="11952"/>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eastAsia="DejaVu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eastAsia="DejaVu Sans"/>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5. PROBAST+AI development and evaluation self-assessment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