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spacing w:val="0"/>
        </w:rPr>
        <w:t xml:space="preserve">11 October 2026</w:t>
      </w:r>
    </w:p>
    <w:p>
      <w:pPr>
        <w:spacing w:after="320"/>
      </w:pPr>
      <w:r>
        <w:rPr>
          <w:rFonts w:ascii="Times New Roman" w:hAnsi="Times New Roman" w:cs="Times New Roman"/>
          <w:sz w:val="32"/>
          <w:sz-cs w:val="32"/>
          <w:spacing w:val="0"/>
        </w:rPr>
        <w:t xml:space="preserve">The Editor</w:t>
        <w:br/>
        <w:t xml:space="preserve">BMC Public Health</w:t>
      </w:r>
    </w:p>
    <w:p>
      <w:pPr>
        <w:spacing w:after="320"/>
      </w:pPr>
      <w:r>
        <w:rPr>
          <w:rFonts w:ascii="Times New Roman" w:hAnsi="Times New Roman" w:cs="Times New Roman"/>
          <w:sz w:val="32"/>
          <w:sz-cs w:val="32"/>
          <w:spacing w:val="0"/>
        </w:rPr>
        <w:t xml:space="preserve">Dear Editor,</w:t>
      </w:r>
    </w:p>
    <w:p>
      <w:pPr>
        <w:spacing w:after="320"/>
      </w:pPr>
      <w:r>
        <w:rPr>
          <w:rFonts w:ascii="Times New Roman" w:hAnsi="Times New Roman" w:cs="Times New Roman"/>
          <w:sz w:val="32"/>
          <w:sz-cs w:val="32"/>
          <w:spacing w:val="0"/>
        </w:rPr>
        <w:t xml:space="preserve">We are pleased to submit our Research article, </w:t>
      </w:r>
      <w:r>
        <w:rPr>
          <w:rFonts w:ascii="Times New Roman" w:hAnsi="Times New Roman" w:cs="Times New Roman"/>
          <w:sz w:val="32"/>
          <w:sz-cs w:val="32"/>
          <w:i/>
          <w:spacing w:val="0"/>
        </w:rPr>
        <w:t xml:space="preserve">"Predicting Additional Screening Findings in an Iranian Occupational Health Programme: Validation Across Screening Groups and Time"</w:t>
      </w:r>
      <w:r>
        <w:rPr>
          <w:rFonts w:ascii="Times New Roman" w:hAnsi="Times New Roman" w:cs="Times New Roman"/>
          <w:sz w:val="32"/>
          <w:sz-cs w:val="32"/>
          <w:spacing w:val="0"/>
        </w:rPr>
        <w:t xml:space="preserve">, for consideration in BMC Public Health.</w:t>
      </w:r>
    </w:p>
    <w:p>
      <w:pPr>
        <w:spacing w:after="320"/>
      </w:pPr>
      <w:r>
        <w:rPr>
          <w:rFonts w:ascii="Times New Roman" w:hAnsi="Times New Roman" w:cs="Times New Roman"/>
          <w:sz w:val="32"/>
          <w:sz-cs w:val="32"/>
          <w:spacing w:val="0"/>
        </w:rPr>
        <w:t xml:space="preserve">Periodic occupational health examinations are a major point of contact between working-age adults and preventive services. In many programmes, however, additional modules such as bone densitometry and abdominal or prostate ultrasound are allocated by employer contract rather than by individual need. Using 36,885 visits recorded over 7.5 years at a single Tehran screening centre, we assessed whether routine measurements already collected at each visit can identify attendees more likely to have a recorded finding in these additional modules.</w:t>
      </w:r>
    </w:p>
    <w:p>
      <w:pPr>
        <w:spacing w:after="320"/>
      </w:pPr>
      <w:r>
        <w:rPr>
          <w:rFonts w:ascii="Times New Roman" w:hAnsi="Times New Roman" w:cs="Times New Roman"/>
          <w:sz w:val="32"/>
          <w:sz-cs w:val="32"/>
          <w:spacing w:val="0"/>
        </w:rPr>
        <w:t xml:space="preserve">The study's main contribution is methodological as well as practical. Rather than reporting only a favourable random split, we evaluated twelve endpoints under three held-out schemes: reconstructed identities, employer- or role-defined screening groups, and later calendar years. Recorded low bone mass and heterogeneous prostate echotexture showed moderate within-group discrimination (mean AUROC 0.733 and 0.774). Discrimination and calibration both weakened under temporal validation, and pooled metrics could hide poor ranking within individual screening groups. These results are relevant to public health programmes that are considering data-driven prioritisation of screening resources, and to researchers who evaluate such tools.</w:t>
      </w:r>
    </w:p>
    <w:p>
      <w:pPr>
        <w:spacing w:after="320"/>
      </w:pPr>
      <w:r>
        <w:rPr>
          <w:rFonts w:ascii="Times New Roman" w:hAnsi="Times New Roman" w:cs="Times New Roman"/>
          <w:sz w:val="32"/>
          <w:sz-cs w:val="32"/>
          <w:spacing w:val="0"/>
        </w:rPr>
        <w:t xml:space="preserve">We report the study in line with TRIPOD+AI and RECORD, provide a PROBAST+AI self-assessment, and state our limitations openly, including reconstructed identity linkage, selective outcome verification, and unadjudicated labels. The findings are presented as exploratory.</w:t>
      </w:r>
    </w:p>
    <w:p>
      <w:pPr>
        <w:spacing w:after="320"/>
      </w:pPr>
      <w:r>
        <w:rPr>
          <w:rFonts w:ascii="Times New Roman" w:hAnsi="Times New Roman" w:cs="Times New Roman"/>
          <w:sz w:val="32"/>
          <w:sz-cs w:val="32"/>
          <w:spacing w:val="0"/>
        </w:rPr>
        <w:t xml:space="preserve">This manuscript has not been published and is not under consideration elsewhere. All authors have read and approved the submitted version. Aliasghar Noori, Masih Mousavi and Mehdi Hosseinpour are affiliated with Davis Company, which provided access to the data. No other competing interests are declared.</w:t>
      </w:r>
    </w:p>
    <w:p>
      <w:pPr>
        <w:spacing w:after="320"/>
      </w:pPr>
      <w:r>
        <w:rPr>
          <w:rFonts w:ascii="Times New Roman" w:hAnsi="Times New Roman" w:cs="Times New Roman"/>
          <w:sz w:val="32"/>
          <w:sz-cs w:val="32"/>
          <w:spacing w:val="0"/>
        </w:rPr>
        <w:t xml:space="preserve">Thank you for considering our work.</w:t>
      </w:r>
    </w:p>
    <w:p>
      <w:pPr>
        <w:spacing w:after="320"/>
      </w:pPr>
      <w:r>
        <w:rPr>
          <w:rFonts w:ascii="Times New Roman" w:hAnsi="Times New Roman" w:cs="Times New Roman"/>
          <w:sz w:val="32"/>
          <w:sz-cs w:val="32"/>
          <w:spacing w:val="0"/>
        </w:rPr>
        <w:t xml:space="preserve">Yours sincerely,</w:t>
      </w:r>
    </w:p>
    <w:p>
      <w:pPr>
        <w:spacing w:after="320"/>
      </w:pPr>
      <w:r>
        <w:rPr>
          <w:rFonts w:ascii="Times New Roman" w:hAnsi="Times New Roman" w:cs="Times New Roman"/>
          <w:sz w:val="32"/>
          <w:sz-cs w:val="32"/>
          <w:spacing w:val="0"/>
        </w:rPr>
        <w:t xml:space="preserve">Masih Mousavi</w:t>
        <w:br/>
        <w:t xml:space="preserve">Department of Computer Science, University of Mazandaran, Babolsar, Iran; Davis Company, Tehran, Iran</w:t>
        <w:br/>
        <w:t xml:space="preserve">m451hm@gmail.com</w:t>
        <w:br/>
        <w:t xml:space="preserve">on behalf of all authors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