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spacing w:line="480" w:lineRule="auto"/>
      </w:pPr>
      <w:r>
        <w:t>Development and evaluation of prediction models for additional screening findings in an Iranian occupational health programme</w:t>
      </w:r>
    </w:p>
    <w:p>
      <w:pPr>
        <w:pageBreakBefore w:val="0"/>
        <w:spacing w:line="480" w:lineRule="auto"/>
      </w:pPr>
      <w:r>
        <w:t>Authors: Aliasghar Noori¹², Masih Mousavi³⁴, Bardia Malackzadeh⁵, Mehdi Hosseinpour⁶⁷</w:t>
      </w:r>
    </w:p>
    <w:p>
      <w:pPr>
        <w:pageBreakBefore w:val="0"/>
        <w:spacing w:line="480" w:lineRule="auto"/>
      </w:pPr>
      <w:r>
        <w:t>Affiliations: ¹ School of Computing and Informatics, London South Bank University, London, UK</w:t>
        <w:br/>
        <w:t>² Data Scientist and CTO, Davis Company, Tehran, Iran</w:t>
        <w:br/>
        <w:t>³ Department of Computer Science, Faculty of Mathematical Sciences, University of Mazandaran, Babolsar, Iran</w:t>
        <w:br/>
        <w:t>⁴ Data Scientist and AI Specialist, Davis Company, Tehran, Iran</w:t>
        <w:br/>
        <w:t>⁵ School of Computing Science, Simon Fraser University, Burnaby, BC, Canada</w:t>
        <w:br/>
        <w:t>⁶ Islamic Azad University, South Tehran Branch, Tehran, Iran</w:t>
        <w:br/>
        <w:t>⁷ Data Specialist, Davis Company, Tehran, Iran</w:t>
      </w:r>
    </w:p>
    <w:p>
      <w:pPr>
        <w:pageBreakBefore w:val="0"/>
        <w:spacing w:line="480" w:lineRule="auto"/>
      </w:pPr>
      <w:r>
        <w:t>Corresponding author: [Corresponding author: Masih Mousavi, Data Scientist and AI Specialist, Davis Company, Tehran, Iran. Email: m451hm@gmail.com]</w:t>
      </w:r>
    </w:p>
    <w:p>
      <w:pPr>
        <w:pageBreakBefore w:val="0"/>
        <w:spacing w:line="480" w:lineRule="auto"/>
      </w:pPr>
      <w:r>
        <w:t>Article type: Research article</w:t>
      </w:r>
    </w:p>
    <w:p>
      <w:pPr>
        <w:pageBreakBefore w:val="0"/>
        <w:spacing w:line="480" w:lineRule="auto"/>
      </w:pPr>
      <w:r>
        <w:t>Running title: Prediction of additional screening findings</w:t>
      </w:r>
    </w:p>
    <w:p>
      <w:pPr>
        <w:pageBreakBefore w:val="0"/>
        <w:spacing w:line="480" w:lineRule="auto"/>
      </w:pPr>
      <w:r>
        <w:t>Keywords: occupational health; screening; clinical prediction model; internal–external validation; bone densitometry; machine learning</w:t>
      </w:r>
    </w:p>
    <w:p>
      <w:pPr>
        <w:pageBreakBefore w:val="0"/>
        <w:spacing w:line="480" w:lineRule="auto"/>
      </w:pPr>
      <w:r/>
    </w:p>
    <w:p>
      <w:pPr>
        <w:pStyle w:val="Heading1"/>
        <w:pageBreakBefore w:val="0"/>
        <w:spacing w:line="480" w:lineRule="auto"/>
      </w:pPr>
      <w:r>
        <w:t>Abstract</w:t>
      </w:r>
    </w:p>
    <w:p>
      <w:pPr>
        <w:pageBreakBefore w:val="0"/>
        <w:spacing w:line="480" w:lineRule="auto"/>
      </w:pPr>
      <w:r>
        <w:t>Background: Routine measurements could help prioritize additional examinations, but repeated attendance and selective testing complicate evaluation. We assessed prediction of recorded findings across occupational screening groups and time.</w:t>
      </w:r>
    </w:p>
    <w:p>
      <w:pPr>
        <w:pageBreakBefore w:val="0"/>
        <w:spacing w:line="480" w:lineRule="auto"/>
      </w:pPr>
      <w:r>
        <w:t>Methods: We analysed 36,885 visits from linked routine clinic, laboratory and imaging records in Iran during Persian programme years 1398–1405. Twelve recorded outcomes were modelled using 50 predictors. Evaluation held out reconstructed birth-date-and-sex identities, employer/role-defined screening groups, or later years. We report discrimination and calibration, conditional bootstrap intervals, and additional model refitting restricted to first recorded visits. The upstream anonymous identifier was unavailable in the supplied archive.</w:t>
      </w:r>
    </w:p>
    <w:p>
      <w:pPr>
        <w:pageBreakBefore w:val="0"/>
        <w:spacing w:line="480" w:lineRule="auto"/>
      </w:pPr>
      <w:r>
        <w:t>Results: Mean within-group AUROCs were 0.774 (95% conditional interval, 0.757–0.790) for prostate echotexture and 0.733 (0.715–0.750) for recorded low bone mass. Temporal AUROCs were 0.711 and 0.628, with calibration slopes of 0.516 and 0.422, respectively. First-record refitting yielded mean group AUROCs of 0.748 and 0.795, but only four and eight groups remained eligible. VT D3 associations attenuated after accounting for screening group and extraction batch. These analyses do not resolve true-person linkage or prospective predictor availability.</w:t>
      </w:r>
    </w:p>
    <w:p>
      <w:pPr>
        <w:pageBreakBefore w:val="0"/>
        <w:spacing w:line="480" w:lineRule="auto"/>
      </w:pPr>
      <w:r>
        <w:t>Conclusions: Routine measurements contained target-dependent predictive information, with the strongest signals for recorded low bone mass and prostate echotexture. However, performance varied across screening groups and deteriorated over time. The practical implication is that routinely collected data may help identify endpoints worth prospective triage evaluation, but any referral policy would require adjudicated labels, workflow verification, and independent validation of fixed thresholds.</w:t>
      </w:r>
    </w:p>
    <w:p>
      <w:pPr>
        <w:pStyle w:val="Heading1"/>
        <w:pageBreakBefore w:val="0"/>
        <w:spacing w:line="480" w:lineRule="auto"/>
      </w:pPr>
      <w:r>
        <w:t>Background</w:t>
      </w:r>
    </w:p>
    <w:p>
      <w:pPr>
        <w:pageBreakBefore w:val="0"/>
        <w:spacing w:line="480" w:lineRule="auto"/>
      </w:pPr>
      <w:r>
        <w:t>Periodic occupational health examinations generate a heterogeneous collection of laboratory measurements, bedside observations, and additional imaging or instrument-based assessments. Within the programme studied here, many core measurements were commonly available, whereas additional modules varied substantially across screening groups. This raises a practical prediction question: can measurements already collected during an examination identify attendees more likely to have a recorded finding in an additional module?</w:t>
      </w:r>
    </w:p>
    <w:p>
      <w:pPr>
        <w:pageBreakBefore w:val="0"/>
        <w:spacing w:line="480" w:lineRule="auto"/>
      </w:pPr>
      <w:r>
        <w:t>Prior research has investigated osteoporosis prediction using routine blood tests and bone-density prediction using health-examination data [1,2]. These studies establish a relevant line of investigation, but their populations, target definitions, and validation designs differ from those of an occupational screening programme. The unresolved question is whether such information remains useful when a model encounters different screening arrangements or a later period. Performance within a randomly divided dataset cannot answer that question by itself. Related work has also used health-examination measurements to predict carotid plaque, extending this approach beyond bone-density outcomes [3].</w:t>
      </w:r>
    </w:p>
    <w:p>
      <w:pPr>
        <w:pageBreakBefore w:val="0"/>
        <w:spacing w:line="480" w:lineRule="auto"/>
      </w:pPr>
      <w:r>
        <w:t>Evaluation in routinely collected data presents additional challenges. Repeat attendees may contribute correlated observations, and screening arrangements can influence which outcomes are observed. Models may exploit between-group differences that do not translate into useful discrimination within a new group. Internal–external validation offers a framework for evaluating such heterogeneity by withholding entire groups during model development [4]. Calibration and decision-analytic assessment address further questions that discrimination alone cannot resolve [5,6]. Dataset shift can arise when the mechanisms generating clinical measurements or labels change between development and use [7]. Interpretation of external performance also depends on how the case mix of the evaluation sample differs from that of development [8].</w:t>
      </w:r>
    </w:p>
    <w:p>
      <w:pPr>
        <w:pageBreakBefore w:val="0"/>
        <w:spacing w:line="480" w:lineRule="auto"/>
      </w:pPr>
      <w:r>
        <w:t>We investigated 12 recorded findings using a common predictor panel and modelling framework. Rather than introducing a new learning algorithm, we asked which signals remain useful when evaluation becomes closer to intended use: across people, across screening arrangements, and across time. We quantified discrimination and calibration under person-grouped, screening-group-held-out, and temporal evaluation; examined the incremental information in laboratory blocks; compared pooled with within-group discrimination; and explored referral operating points. The intended application is prioritisation of additional examinations after core measurements are available.</w:t>
      </w:r>
    </w:p>
    <w:p>
      <w:pPr>
        <w:pStyle w:val="Heading1"/>
        <w:pageBreakBefore w:val="0"/>
        <w:spacing w:line="480" w:lineRule="auto"/>
      </w:pPr>
      <w:r>
        <w:t>Methods</w:t>
      </w:r>
    </w:p>
    <w:p>
      <w:pPr>
        <w:pStyle w:val="Heading2"/>
        <w:pageBreakBefore w:val="0"/>
        <w:spacing w:line="480" w:lineRule="auto"/>
      </w:pPr>
      <w:r>
        <w:t>Study design, setting, and data source</w:t>
      </w:r>
    </w:p>
    <w:p>
      <w:pPr>
        <w:pageBreakBefore w:val="0"/>
        <w:spacing w:line="480" w:lineRule="auto"/>
      </w:pPr>
      <w:r>
        <w:t>We conducted a retrospective prediction-model study of an Iranian corporate occupational health-examination programme. The merged export contained 36,885 visits and 592 fields across programme years 1398–1405 in the Persian calendar. Programme documentation describes employees from multiple organisations and some non-corporate attendees. The geographical setting, number of physical examination centres, exact observation dates, and recruitment procedures require author confirmation: [AUTHORS/DATA TEAM TO COMPLETE: verified setting, number of physical examination centres, exact observation dates, and recruitment procedures]. Programme-year labels alone do not establish eight complete calendar years of recruitment.</w:t>
      </w:r>
    </w:p>
    <w:p>
      <w:pPr>
        <w:pStyle w:val="Heading2"/>
        <w:keepNext/>
        <w:pageBreakBefore w:val="0"/>
        <w:spacing w:line="480" w:lineRule="auto"/>
      </w:pPr>
      <w:r>
        <w:t>Data acquisition, linkage, and de-identification</w:t>
      </w:r>
    </w:p>
    <w:p>
      <w:pPr>
        <w:pageBreakBefore w:val="0"/>
        <w:spacing w:line="480" w:lineRule="auto"/>
      </w:pPr>
      <w:r>
        <w:t>Source records were assembled from occupational-clinic records, laboratory-information-system outputs, and imaging and specialist reports maintained across multiple operational systems. The collection team reported a twice-yearly extraction schedule during Persian programme years 1398–1405, using date-bounded queries for six-month periods. The supplied archive contains 15 distinct source-file/year/part combinations: parts 1 and 2 for 1398–1404 and part 1 for 1405. Completion or availability of a second 1405 batch requires confirmation; 16 completed batches are not asserted. Original data entry was performed by routine clinic, laboratory and imaging staff.</w:t>
      </w:r>
    </w:p>
    <w:p>
      <w:pPr>
        <w:pageBreakBefore w:val="0"/>
        <w:spacing w:line="480" w:lineRule="auto"/>
      </w:pPr>
      <w:r>
        <w:t>Laboratory results that were not available as structured fields were obtained from PDF reports. Values were extracted automatically and then subjected to manual quality control, with the intensity of review varying by extraction batch. Random samples, failed extractions, and suspicious values were compared with the source reports. Measurement units and reference ranges were checked, and clinically or technically suspicious values were reviewed with clinicians.</w:t>
      </w:r>
    </w:p>
    <w:p>
      <w:pPr>
        <w:pageBreakBefore w:val="0"/>
        <w:spacing w:line="480" w:lineRule="auto"/>
      </w:pPr>
      <w:r>
        <w:t>According to the collection team, operational patient identifiers linked records across systems and visits before names and operational identifiers were removed, and a new anonymous patient identifier was retained upstream. Inspection of the supplied 592-field workbook, processed-data schema and analysis code identified no upstream anonymous identifier or row-level crosswalk. The implemented analysis instead constructs person_id from recorded birth date and sex. Consequently, false merges, false splits and AUROC changes under true-ID grouping cannot be quantified from this archive. Absence from the supplied archive does not imply that the identifier was never created. Additional file 2 specifies the data needed for reconciliation.</w:t>
      </w:r>
    </w:p>
    <w:p>
      <w:pPr>
        <w:pageBreakBefore w:val="0"/>
        <w:spacing w:line="480" w:lineRule="auto"/>
      </w:pPr>
      <w:r>
        <w:t>Visits, rather than individuals, were the unit of prediction. All available visits were retained in the source cohort; eligibility for modelling was target-specific and depended on a non-missing derived label, with additional sex restrictions where applicable. No overall complete-case restriction was imposed. We use “screening group” for the employer/role-derived grouping variable because its source field includes employer-related roles and other attendee categories; it is not a verified physical-site identifier.</w:t>
      </w:r>
    </w:p>
    <w:p>
      <w:pPr>
        <w:pageBreakBefore w:val="0"/>
        <w:spacing w:line="480" w:lineRule="auto"/>
      </w:pPr>
      <w:r>
        <w:t>The manuscript is organised with reference to TRIPOD+AI reporting guidance [9]. No registered analysis plan was available. Model comparisons and additional analyses of saved predictions are therefore exploratory. Sample size was determined by the available export rather than a prospective precision calculation. Reporting of data cleaning, record linkage, and outcome coding also draws on the RECORD statement for studies using routinely collected health data [10].</w:t>
      </w:r>
    </w:p>
    <w:p>
      <w:pPr>
        <w:pStyle w:val="Heading2"/>
        <w:keepNext/>
        <w:pageBreakBefore w:val="0"/>
        <w:spacing w:line="480" w:lineRule="auto"/>
      </w:pPr>
      <w:r>
        <w:t>Data harmonisation and analysis identity groups</w:t>
      </w:r>
    </w:p>
    <w:p>
      <w:pPr>
        <w:pageBreakBefore w:val="0"/>
        <w:spacing w:line="480" w:lineRule="auto"/>
      </w:pPr>
      <w:r>
        <w:t>Across extraction batches, date formats, numeric encodings, missing-value codes, measurement units, and reference-range conventions were standardised before merging. The cleaning pipeline normalised strings encoding tests not performed or not recorded to missing values. It identified 1,780,697 such cells. Core numeric values outside the programmed plausibility bounds were set to missing, affecting 73 values. These checks flag implausible entries; they do not establish the underlying cause of each abnormal entry. The field labelled “bph” was excluded because its contents represented laterality rather than the intended finding.</w:t>
      </w:r>
    </w:p>
    <w:p>
      <w:pPr>
        <w:pageBreakBefore w:val="0"/>
        <w:spacing w:line="480" w:lineRule="auto"/>
      </w:pPr>
      <w:r>
        <w:t>Age was approximated as visit year minus birth year; 165 values outside the allowed range of 16-95 years, or otherwise unusable, were set to missing. For the supplied modelling archive, the analysis identity variable was reconstructed by concatenating recorded birth date and sex; the upstream anonymous identifier created during data acquisition was not used by the implemented pipeline. This produced 12,246 analysis identity groups. The audit identified 111 identity-visit-date groups containing more than one record. This count is not an estimate of the proportion of incorrectly grouped people and does not distinguish duplicate visits from different people sharing the same quasi-identifier.</w:t>
      </w:r>
    </w:p>
    <w:p>
      <w:pPr>
        <w:pageBreakBefore w:val="0"/>
        <w:spacing w:line="480" w:lineRule="auto"/>
      </w:pPr>
      <w:r>
        <w:t>Densitometry values were coalesced from anatomical-site and category-specific export columns. The outcome used categories attached to bone mineral density (BMD) at the left hip or lumbar spine, which were more widely recorded than categories attached to T-score fields. A post hoc audit compared category labels within visits having both fields at the same site and separately described their availability. This distinguishes paired-record disagreement from differences between marginal distributions. The source labels and numeric measurements were not independently clinically adjudicated. We therefore describe this endpoint as “recorded low bone mass,” preserving its source meaning without asserting that it represents a guideline-concordant osteoporosis diagnosis.</w:t>
      </w:r>
    </w:p>
    <w:p>
      <w:pPr>
        <w:pStyle w:val="Heading2"/>
        <w:pageBreakBefore w:val="0"/>
        <w:spacing w:line="480" w:lineRule="auto"/>
      </w:pPr>
      <w:r>
        <w:t>Predictors and missing data</w:t>
      </w:r>
    </w:p>
    <w:p>
      <w:pPr>
        <w:pageBreakBefore w:val="0"/>
        <w:spacing w:line="480" w:lineRule="auto"/>
      </w:pPr>
      <w:r>
        <w:t>The full analysis panel comprised 50 predictors: age and a male indicator; body mass index and systolic and diastolic blood pressure; 22 variables in the chemistry block; 17 haematology indices; and six derived measures. The latter were neutrophil-to-lymphocyte ratio, AST/ALT ratio, triglyceride/HDL ratio, non-HDL cholesterol, transferrin saturation, and pulse pressure. The chemistry block also included ESR and endocrine measurements; the block name is an analytical grouping rather than a strict laboratory taxonomy. Table 1 lists the inputs.</w:t>
      </w:r>
    </w:p>
    <w:p>
      <w:pPr>
        <w:pStyle w:val="Heading2"/>
        <w:keepNext/>
        <w:pageBreakBefore w:val="0"/>
        <w:spacing w:before="200" w:after="100" w:line="480" w:lineRule="auto"/>
      </w:pPr>
      <w:r>
        <w:t>Table 1. Predictor inventory</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2000"/>
        <w:gridCol w:w="7360"/>
      </w:tblGrid>
      <w:tr>
        <w:trPr>
          <w:cantSplit/>
          <w:tblHeader/>
        </w:trPr>
        <w:tc>
          <w:tcPr>
            <w:tcW w:type="dxa" w:w="2000"/>
            <w:shd w:fill="F4F6F9"/>
          </w:tcPr>
          <w:p>
            <w:pPr>
              <w:pStyle w:val="TableText"/>
              <w:keepNext/>
            </w:pPr>
            <w:r>
              <w:rPr>
                <w:b/>
              </w:rPr>
              <w:t>Block</w:t>
            </w:r>
          </w:p>
        </w:tc>
        <w:tc>
          <w:tcPr>
            <w:tcW w:type="dxa" w:w="7360"/>
            <w:shd w:fill="F4F6F9"/>
          </w:tcPr>
          <w:p>
            <w:pPr>
              <w:pStyle w:val="TableText"/>
              <w:keepNext/>
            </w:pPr>
            <w:r>
              <w:rPr>
                <w:b/>
              </w:rPr>
              <w:t>Variables</w:t>
            </w:r>
          </w:p>
        </w:tc>
      </w:tr>
      <w:tr>
        <w:trPr>
          <w:cantSplit/>
        </w:trPr>
        <w:tc>
          <w:tcPr>
            <w:tcW w:type="dxa" w:w="2000"/>
          </w:tcPr>
          <w:p>
            <w:pPr>
              <w:pStyle w:val="TableText"/>
              <w:keepNext w:val="0"/>
            </w:pPr>
            <w:r>
              <w:t>Demographics</w:t>
            </w:r>
          </w:p>
        </w:tc>
        <w:tc>
          <w:tcPr>
            <w:tcW w:type="dxa" w:w="7360"/>
          </w:tcPr>
          <w:p>
            <w:pPr>
              <w:pStyle w:val="TableText"/>
              <w:keepNext w:val="0"/>
            </w:pPr>
            <w:r>
              <w:t>Age; male indicator</w:t>
            </w:r>
          </w:p>
        </w:tc>
      </w:tr>
      <w:tr>
        <w:trPr>
          <w:cantSplit/>
        </w:trPr>
        <w:tc>
          <w:tcPr>
            <w:tcW w:type="dxa" w:w="2000"/>
          </w:tcPr>
          <w:p>
            <w:pPr>
              <w:pStyle w:val="TableText"/>
              <w:keepNext w:val="0"/>
            </w:pPr>
            <w:r>
              <w:t>Vital measurements</w:t>
            </w:r>
          </w:p>
        </w:tc>
        <w:tc>
          <w:tcPr>
            <w:tcW w:type="dxa" w:w="7360"/>
          </w:tcPr>
          <w:p>
            <w:pPr>
              <w:pStyle w:val="TableText"/>
              <w:keepNext w:val="0"/>
            </w:pPr>
            <w:r>
              <w:t>BMI; systolic and diastolic blood pressure</w:t>
            </w:r>
          </w:p>
        </w:tc>
      </w:tr>
      <w:tr>
        <w:trPr>
          <w:cantSplit/>
        </w:trPr>
        <w:tc>
          <w:tcPr>
            <w:tcW w:type="dxa" w:w="2000"/>
          </w:tcPr>
          <w:p>
            <w:pPr>
              <w:pStyle w:val="TableText"/>
              <w:keepNext w:val="0"/>
            </w:pPr>
            <w:r>
              <w:t>Chemistry block</w:t>
            </w:r>
          </w:p>
        </w:tc>
        <w:tc>
          <w:tcPr>
            <w:tcW w:type="dxa" w:w="7360"/>
          </w:tcPr>
          <w:p>
            <w:pPr>
              <w:pStyle w:val="TableText"/>
              <w:keepNext w:val="0"/>
            </w:pPr>
            <w:r>
              <w:t>Fasting glucose; urea; creatinine; uric acid; total cholesterol; triglycerides; HDL; LDL; calcium; phosphorus; total and direct bilirubin; AST; ALT; alkaline phosphatase; ESR; TSH; VT D3; ferritin; iron; TIBC; HbA1c</w:t>
            </w:r>
          </w:p>
        </w:tc>
      </w:tr>
      <w:tr>
        <w:trPr>
          <w:cantSplit/>
        </w:trPr>
        <w:tc>
          <w:tcPr>
            <w:tcW w:type="dxa" w:w="2000"/>
          </w:tcPr>
          <w:p>
            <w:pPr>
              <w:pStyle w:val="TableText"/>
              <w:keepNext w:val="0"/>
            </w:pPr>
            <w:r>
              <w:t>Haematology</w:t>
            </w:r>
          </w:p>
        </w:tc>
        <w:tc>
          <w:tcPr>
            <w:tcW w:type="dxa" w:w="7360"/>
          </w:tcPr>
          <w:p>
            <w:pPr>
              <w:pStyle w:val="TableText"/>
              <w:keepNext w:val="0"/>
            </w:pPr>
            <w:r>
              <w:t>Haemoglobin; haematocrit; MCV; MCH; MCHC; platelets; RDW-CV; RDW-SD; white and red cell counts; neutrophil, lymphocyte, monocyte, eosinophil and basophil indices; MPV; PDW</w:t>
            </w:r>
          </w:p>
        </w:tc>
      </w:tr>
      <w:tr>
        <w:trPr>
          <w:cantSplit/>
        </w:trPr>
        <w:tc>
          <w:tcPr>
            <w:tcW w:type="dxa" w:w="2000"/>
          </w:tcPr>
          <w:p>
            <w:pPr>
              <w:pStyle w:val="TableText"/>
              <w:keepNext/>
            </w:pPr>
            <w:r>
              <w:t>Derived measures</w:t>
            </w:r>
          </w:p>
        </w:tc>
        <w:tc>
          <w:tcPr>
            <w:tcW w:type="dxa" w:w="7360"/>
          </w:tcPr>
          <w:p>
            <w:pPr>
              <w:pStyle w:val="TableText"/>
              <w:keepNext/>
            </w:pPr>
            <w:r>
              <w:t>Neutrophils/lymphocytes; AST/ALT; triglycerides/HDL; total cholesterol minus HDL; 100 × iron/TIBC; systolic minus diastolic blood pressure</w:t>
            </w:r>
          </w:p>
        </w:tc>
      </w:tr>
    </w:tbl>
    <w:p>
      <w:pPr>
        <w:pStyle w:val="TableNote"/>
        <w:keepNext w:val="0"/>
        <w:pageBreakBefore w:val="0"/>
        <w:spacing w:after="180"/>
      </w:pPr>
      <w:r>
        <w:t>The full analysis panel contains 50 predictors and candidate models contain 49 after excluding VT D3. Additional file 1 provides all original field spellings, coding, transformations and unit provenance; laboratory units inferred by the project interface remain unverified against source laboratory documentation.</w:t>
      </w:r>
    </w:p>
    <w:p>
      <w:pPr>
        <w:pageBreakBefore w:val="0"/>
        <w:spacing w:line="480" w:lineRule="auto"/>
      </w:pPr>
      <w:r>
        <w:t>Four nested feature sets were compared: demographics; demographics plus vital measurements; these variables plus chemistry; and the full panel including haematology. Inputs were drawn from the same recorded visit. Actual timestamps demonstrating availability before additional-test ordering were unavailable, so prospective availability remains an assumption requiring workflow verification.</w:t>
      </w:r>
    </w:p>
    <w:p>
      <w:pPr>
        <w:pageBreakBefore w:val="0"/>
        <w:spacing w:line="480" w:lineRule="auto"/>
      </w:pPr>
      <w:r>
        <w:t>Logistic regression used training-fold median imputation and standardisation. Native gradient boosting retained missing values. Two additional arms added binary observed-value indicators to native boosting or used median imputation before boosting. These arms assess sensitivity to missing-data handling; imputation does not prove that all information about missingness or ordering practice has been removed.</w:t>
      </w:r>
    </w:p>
    <w:p>
      <w:pPr>
        <w:pStyle w:val="Heading2"/>
        <w:pageBreakBefore w:val="0"/>
        <w:spacing w:line="480" w:lineRule="auto"/>
      </w:pPr>
      <w:r>
        <w:t>Outcomes</w:t>
      </w:r>
    </w:p>
    <w:p>
      <w:pPr>
        <w:pageBreakBefore w:val="0"/>
        <w:spacing w:line="480" w:lineRule="auto"/>
      </w:pPr>
      <w:r>
        <w:t>Twelve binary endpoints were constructed from recorded module fields. A missing target label excluded the visit only from that target’s analysis, so each endpoint has its own observed-label sample. Prostate and mammography labels were restricted to recorded male and female attendees, respectively.</w:t>
      </w:r>
    </w:p>
    <w:p>
      <w:pPr>
        <w:pageBreakBefore w:val="0"/>
        <w:spacing w:line="480" w:lineRule="auto"/>
      </w:pPr>
      <w:r>
        <w:t>Recorded low bone mass was positive when either available BMD-filed left-hip or lumbar-spine category was osteopenia or osteoporosis. A negative label could be assigned when an available site was normal and the other site was missing. Heterogeneous prostate echotexture used the exact source category “Hetrogeneous.” Ultrasound stone and hydronephrosis endpoints used affirmative source values. Nephrolithiasis and kidney stone were separate source fields and were not assumed to define independent diseases.</w:t>
      </w:r>
    </w:p>
    <w:p>
      <w:pPr>
        <w:pageBreakBefore w:val="0"/>
        <w:spacing w:line="480" w:lineRule="auto"/>
      </w:pPr>
      <w:r>
        <w:t>Mammography included recognised BI-RADS categories 1–6 and classified categories 3–6 as positive. The K6 endpoint used a recorded score of at least 13; K6 is a brief measure of nonspecific psychological distress [11]. Exact mappings for echocardiography, carotid assessment, and toxicology are provided in Table 2.</w:t>
      </w:r>
    </w:p>
    <w:p>
      <w:pPr>
        <w:pStyle w:val="Heading2"/>
        <w:keepNext/>
        <w:pageBreakBefore w:val="0"/>
        <w:spacing w:before="200" w:after="100" w:line="480" w:lineRule="auto"/>
      </w:pPr>
      <w:r>
        <w:t>Table 2. Implemented target mappings</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2400"/>
        <w:gridCol w:w="6960"/>
      </w:tblGrid>
      <w:tr>
        <w:trPr>
          <w:cantSplit/>
          <w:tblHeader/>
        </w:trPr>
        <w:tc>
          <w:tcPr>
            <w:tcW w:type="dxa" w:w="2400"/>
            <w:shd w:fill="F4F6F9"/>
          </w:tcPr>
          <w:p>
            <w:pPr>
              <w:pStyle w:val="TableText"/>
              <w:keepNext/>
            </w:pPr>
            <w:r>
              <w:rPr>
                <w:b/>
              </w:rPr>
              <w:t>Endpoint</w:t>
            </w:r>
          </w:p>
        </w:tc>
        <w:tc>
          <w:tcPr>
            <w:tcW w:type="dxa" w:w="6960"/>
            <w:shd w:fill="F4F6F9"/>
          </w:tcPr>
          <w:p>
            <w:pPr>
              <w:pStyle w:val="TableText"/>
              <w:keepNext/>
            </w:pPr>
            <w:r>
              <w:rPr>
                <w:b/>
              </w:rPr>
              <w:t>Operational definition</w:t>
            </w:r>
          </w:p>
        </w:tc>
      </w:tr>
      <w:tr>
        <w:trPr>
          <w:cantSplit/>
        </w:trPr>
        <w:tc>
          <w:tcPr>
            <w:tcW w:type="dxa" w:w="2400"/>
          </w:tcPr>
          <w:p>
            <w:pPr>
              <w:pStyle w:val="TableText"/>
              <w:keepNext w:val="0"/>
            </w:pPr>
            <w:r>
              <w:t>Low bone mass</w:t>
            </w:r>
          </w:p>
        </w:tc>
        <w:tc>
          <w:tcPr>
            <w:tcW w:type="dxa" w:w="6960"/>
          </w:tcPr>
          <w:p>
            <w:pPr>
              <w:pStyle w:val="TableText"/>
              <w:keepNext w:val="0"/>
            </w:pPr>
            <w:r>
              <w:t>At least one available left-hip or lumbar-spine BMD-filed category is osteopenia/osteoporosis. Available normal site(s) otherwise yield a negative label.</w:t>
            </w:r>
          </w:p>
        </w:tc>
      </w:tr>
      <w:tr>
        <w:trPr>
          <w:cantSplit/>
        </w:trPr>
        <w:tc>
          <w:tcPr>
            <w:tcW w:type="dxa" w:w="2400"/>
          </w:tcPr>
          <w:p>
            <w:pPr>
              <w:pStyle w:val="TableText"/>
              <w:keepNext w:val="0"/>
            </w:pPr>
            <w:r>
              <w:t>Prostate echotexture</w:t>
            </w:r>
          </w:p>
        </w:tc>
        <w:tc>
          <w:tcPr>
            <w:tcW w:type="dxa" w:w="6960"/>
          </w:tcPr>
          <w:p>
            <w:pPr>
              <w:pStyle w:val="TableText"/>
              <w:keepNext w:val="0"/>
            </w:pPr>
            <w:r>
              <w:t>Exact positive source value: Hetrogeneous. Other non-missing values are negative; restricted to recorded males.</w:t>
            </w:r>
          </w:p>
        </w:tc>
      </w:tr>
      <w:tr>
        <w:trPr>
          <w:cantSplit/>
        </w:trPr>
        <w:tc>
          <w:tcPr>
            <w:tcW w:type="dxa" w:w="2400"/>
          </w:tcPr>
          <w:p>
            <w:pPr>
              <w:pStyle w:val="TableText"/>
              <w:keepNext w:val="0"/>
            </w:pPr>
            <w:r>
              <w:t>Ultrasound stones / hydronephrosis</w:t>
            </w:r>
          </w:p>
        </w:tc>
        <w:tc>
          <w:tcPr>
            <w:tcW w:type="dxa" w:w="6960"/>
          </w:tcPr>
          <w:p>
            <w:pPr>
              <w:pStyle w:val="TableText"/>
              <w:keepNext w:val="0"/>
            </w:pPr>
            <w:r>
              <w:t>Each respective field is positive for yes, Yes, or YES. Other non-missing strings are negative. Kidney stone and nephrolithiasis remain separate source fields.</w:t>
            </w:r>
          </w:p>
        </w:tc>
      </w:tr>
      <w:tr>
        <w:trPr>
          <w:cantSplit/>
        </w:trPr>
        <w:tc>
          <w:tcPr>
            <w:tcW w:type="dxa" w:w="2400"/>
          </w:tcPr>
          <w:p>
            <w:pPr>
              <w:pStyle w:val="TableText"/>
              <w:keepNext w:val="0"/>
            </w:pPr>
            <w:r>
              <w:t>Mitral valve abnormality</w:t>
            </w:r>
          </w:p>
        </w:tc>
        <w:tc>
          <w:tcPr>
            <w:tcW w:type="dxa" w:w="6960"/>
          </w:tcPr>
          <w:p>
            <w:pPr>
              <w:pStyle w:val="TableText"/>
              <w:keepNext w:val="0"/>
            </w:pPr>
            <w:r>
              <w:t>Any non-missing value other than Mitral valve - normal.</w:t>
            </w:r>
          </w:p>
        </w:tc>
      </w:tr>
      <w:tr>
        <w:trPr>
          <w:cantSplit/>
        </w:trPr>
        <w:tc>
          <w:tcPr>
            <w:tcW w:type="dxa" w:w="2400"/>
          </w:tcPr>
          <w:p>
            <w:pPr>
              <w:pStyle w:val="TableText"/>
              <w:keepNext w:val="0"/>
            </w:pPr>
            <w:r>
              <w:t>Mitral regurgitation</w:t>
            </w:r>
          </w:p>
        </w:tc>
        <w:tc>
          <w:tcPr>
            <w:tcW w:type="dxa" w:w="6960"/>
          </w:tcPr>
          <w:p>
            <w:pPr>
              <w:pStyle w:val="TableText"/>
              <w:keepNext w:val="0"/>
            </w:pPr>
            <w:r>
              <w:t>Positive exact categories: MR - mild; MR - mild to moderate; MR - moderate; MR - moderate to severe. Other non-missing entries are negative; no severe-only category was observed in the processed data.</w:t>
            </w:r>
          </w:p>
        </w:tc>
      </w:tr>
      <w:tr>
        <w:trPr>
          <w:cantSplit/>
        </w:trPr>
        <w:tc>
          <w:tcPr>
            <w:tcW w:type="dxa" w:w="2400"/>
          </w:tcPr>
          <w:p>
            <w:pPr>
              <w:pStyle w:val="TableText"/>
              <w:keepNext w:val="0"/>
            </w:pPr>
            <w:r>
              <w:t>Carotid abnormality</w:t>
            </w:r>
          </w:p>
        </w:tc>
        <w:tc>
          <w:tcPr>
            <w:tcW w:type="dxa" w:w="6960"/>
          </w:tcPr>
          <w:p>
            <w:pPr>
              <w:pStyle w:val="TableText"/>
              <w:keepNext w:val="0"/>
            </w:pPr>
            <w:r>
              <w:t>Any available rcca, rica, reca, lcca, lica or leca value other than No plaque or No stenosis.</w:t>
            </w:r>
          </w:p>
        </w:tc>
      </w:tr>
      <w:tr>
        <w:trPr>
          <w:cantSplit/>
        </w:trPr>
        <w:tc>
          <w:tcPr>
            <w:tcW w:type="dxa" w:w="2400"/>
          </w:tcPr>
          <w:p>
            <w:pPr>
              <w:pStyle w:val="TableText"/>
              <w:keepNext w:val="0"/>
            </w:pPr>
            <w:r>
              <w:t>Mammography</w:t>
            </w:r>
          </w:p>
        </w:tc>
        <w:tc>
          <w:tcPr>
            <w:tcW w:type="dxa" w:w="6960"/>
          </w:tcPr>
          <w:p>
            <w:pPr>
              <w:pStyle w:val="TableText"/>
              <w:keepNext w:val="0"/>
            </w:pPr>
            <w:r>
              <w:t>Recognised BI-RADS 3–6 positive, 1–2 negative; other/missing categories excluded; restricted to recorded females.</w:t>
            </w:r>
          </w:p>
        </w:tc>
      </w:tr>
      <w:tr>
        <w:trPr>
          <w:cantSplit/>
        </w:trPr>
        <w:tc>
          <w:tcPr>
            <w:tcW w:type="dxa" w:w="2400"/>
          </w:tcPr>
          <w:p>
            <w:pPr>
              <w:pStyle w:val="TableText"/>
              <w:keepNext w:val="0"/>
            </w:pPr>
            <w:r>
              <w:t>K6 score</w:t>
            </w:r>
          </w:p>
        </w:tc>
        <w:tc>
          <w:tcPr>
            <w:tcW w:type="dxa" w:w="6960"/>
          </w:tcPr>
          <w:p>
            <w:pPr>
              <w:pStyle w:val="TableText"/>
              <w:keepNext w:val="0"/>
            </w:pPr>
            <w:r>
              <w:t>Numeric score ≥13 positive; other observed numeric scores negative.</w:t>
            </w:r>
          </w:p>
        </w:tc>
      </w:tr>
      <w:tr>
        <w:trPr>
          <w:cantSplit/>
        </w:trPr>
        <w:tc>
          <w:tcPr>
            <w:tcW w:type="dxa" w:w="2400"/>
          </w:tcPr>
          <w:p>
            <w:pPr>
              <w:pStyle w:val="TableText"/>
              <w:keepNext/>
            </w:pPr>
            <w:r>
              <w:t>Urine toxicology</w:t>
            </w:r>
          </w:p>
        </w:tc>
        <w:tc>
          <w:tcPr>
            <w:tcW w:type="dxa" w:w="6960"/>
          </w:tcPr>
          <w:p>
            <w:pPr>
              <w:pStyle w:val="TableText"/>
              <w:keepNext/>
            </w:pPr>
            <w:r>
              <w:t>At least one available drug field and any field containing Positive. Otherwise negative if any drug field is observed; this does not require a complete panel.</w:t>
            </w:r>
          </w:p>
        </w:tc>
      </w:tr>
    </w:tbl>
    <w:p>
      <w:pPr>
        <w:pStyle w:val="TableNote"/>
        <w:keepNext w:val="0"/>
        <w:pageBreakBefore w:val="0"/>
        <w:spacing w:after="180"/>
      </w:pPr>
      <w:r>
        <w:t>Definitions describe the implemented coding. The four ultrasound affirmative fields and the prostate field contained only their expected categories; no severe-only MR value was observed. Carotid categories and incomplete multi-field endpoints require further clinical review.</w:t>
      </w:r>
    </w:p>
    <w:p>
      <w:pPr>
        <w:pageBreakBefore w:val="0"/>
        <w:spacing w:line="480" w:lineRule="auto"/>
      </w:pPr>
      <w:r>
        <w:t>Gallstones were designated a negative control in the project code, but contemporaneous prespecification of a null association could not be verified. We therefore report it as an exploratory comparator and do not use cross-target AUROC differences as formal clinical validation criteria.</w:t>
      </w:r>
    </w:p>
    <w:p>
      <w:pPr>
        <w:pStyle w:val="Heading2"/>
        <w:pageBreakBefore w:val="0"/>
        <w:spacing w:line="480" w:lineRule="auto"/>
      </w:pPr>
      <w:r>
        <w:t>Models and validation</w:t>
      </w:r>
    </w:p>
    <w:p>
      <w:pPr>
        <w:pageBreakBefore w:val="0"/>
        <w:spacing w:line="480" w:lineRule="auto"/>
      </w:pPr>
      <w:r>
        <w:t>The five principal arms were a training-prevalence baseline, L2-penalised logistic regression, histogram-based gradient boosting, boosting with observed-value indicators, and boosting after median imputation. Logistic regression used regularisation parameter C=1 and a maximum of 3,000 iterations. Boosting used at most 400 iterations, learning rate 0.05, at most 31 leaves, minimum leaf size 40, and L2 regularisation of 1. Early stopping used a 15% internal validation fraction and 30 iterations without improvement. Settings were fixed in the implemented analysis, with no target-specific hyperparameter search. The random seed was 20260801. The internal early-stopping partition was not explicitly grouped by identity; outer evaluation partitions were grouped as described below. Gradient boosting builds an additive prediction function through successive loss-reducing updates [12]; the settings above describe the histogram-based implementation used here. No class weighting, oversampling, or undersampling was used. Model outputs were probabilities; no model updating or recalibration was performed.</w:t>
      </w:r>
    </w:p>
    <w:p>
      <w:pPr>
        <w:pageBreakBefore w:val="0"/>
        <w:spacing w:line="480" w:lineRule="auto"/>
      </w:pPr>
      <w:r>
        <w:t>Person-grouped evaluation used five-fold GroupKFold on reconstructed identities. For screening-group-held-out evaluation, employer/role categories with at least 300 visits in the full cohort were retained as separate groups; smaller categories were pooled and were not held out. Each target-specific test fold required at least 150 labelled visits, at least 10 positive and 10 negative labels, and at least 500 remaining training visits. Reconstructed identities present in the held-out group were excluded from training. The category denoting unknown employer/role could qualify under these rules.</w:t>
      </w:r>
    </w:p>
    <w:p>
      <w:pPr>
        <w:pageBreakBefore w:val="0"/>
        <w:spacing w:line="480" w:lineRule="auto"/>
      </w:pPr>
      <w:r>
        <w:t>Temporal evaluation trained on programme years before 1403 and tested on years 1403 onward. Identities present in the later period were excluded from training. This design combines a time shift with exclusion of returning attendees from the development sample; it does not isolate temporal drift alone. Targets with fewer than 300 labelled visits or fewer than 25 positives were skipped by the experiment driver, and fold availability varied across endpoints.</w:t>
      </w:r>
    </w:p>
    <w:p>
      <w:pPr>
        <w:pStyle w:val="Heading2"/>
        <w:pageBreakBefore w:val="0"/>
        <w:spacing w:line="480" w:lineRule="auto"/>
      </w:pPr>
      <w:r>
        <w:t>Performance measures and statistical analysis</w:t>
      </w:r>
    </w:p>
    <w:p>
      <w:pPr>
        <w:pageBreakBefore w:val="0"/>
        <w:spacing w:line="480" w:lineRule="auto"/>
      </w:pPr>
      <w:r>
        <w:t>Discrimination was summarised using AUROC and average precision, termed AUPRC in the project outputs. AUPRC was also related to the event prevalence in the evaluated sample. For screening-group-held-out evaluation, the principal summary was the unweighted mean of AUROC calculated separately within each held-out group. Between-group SD describes heterogeneity; it is not a confidence interval. Pooled AUROC was calculated on concatenated out-of-fold predictions and represents a different estimand. Precision–recall summaries complement ROC discrimination for infrequent findings by describing the proportion of positives among selected predictions, with interpretation tied to outcome prevalence [13].</w:t>
      </w:r>
    </w:p>
    <w:p>
      <w:pPr>
        <w:pageBreakBefore w:val="0"/>
        <w:spacing w:line="480" w:lineRule="auto"/>
      </w:pPr>
      <w:r>
        <w:t>The original analysis used 300 reconstructed-person-clustered bootstrap replicates for selected pooled gradient-boosting metrics. During manuscript revision, we added 2,000-replicate percentile intervals for the principal mean within-group AUROC and paired model/feature-block differences. Within each target, reconstructed identities were sampled with replacement from the pooled evaluation sample, retaining all their visits and original fold assignments. AUROC was recalculated within every fixed fold and averaged with equal fold weights; identical resampling weights were used for each paired comparison. All 2,000 replicates were valid for every target. These post hoc intervals condition on saved predictions and the observed collection of screening groups. They quantify evaluation-sample uncertainty but do not incorporate model refitting, model-selection uncertainty, or variation from sampling new screening groups. Supplementary Methods describe the computation.</w:t>
      </w:r>
    </w:p>
    <w:p>
      <w:pPr>
        <w:pageBreakBefore w:val="0"/>
        <w:spacing w:line="480" w:lineRule="auto"/>
      </w:pPr>
      <w:r>
        <w:t>Calibration was assessed by regressing the outcome on the prediction logit with intercept and slope estimated jointly, together with Brier score and a ten-quantile-bin expected calibration error. No multiplicity-adjusted tests or confirmatory significance claims were used; interval comparisons are exploratory and conditional on the observed evaluation sample.</w:t>
      </w:r>
      <w:r>
        <w:t xml:space="preserve"> Historical full-panel calibration intercepts, slopes, Brier scores and expected calibration errors are listed in Additional file 2, section 6.</w:t>
      </w:r>
    </w:p>
    <w:p>
      <w:pPr>
        <w:pageBreakBefore w:val="0"/>
        <w:spacing w:line="480" w:lineRule="auto"/>
      </w:pPr>
      <w:r>
        <w:t>Decision-curve net benefit was calculated as TP/N − (FP/N) × pt/(1−pt), with threshold probability pt, and compared with testing all or none [6] across thresholds from 0.01 to 0.50. These analyses quantify trade-offs under assumed relative consequences of false positives and false negatives; the thresholds were not derived from a clinical preference study.</w:t>
      </w:r>
    </w:p>
    <w:p>
      <w:pPr>
        <w:pStyle w:val="Heading2"/>
        <w:pageBreakBefore w:val="0"/>
        <w:spacing w:line="480" w:lineRule="auto"/>
      </w:pPr>
      <w:r>
        <w:t>Exploratory candidate models and operating points</w:t>
      </w:r>
    </w:p>
    <w:p>
      <w:pPr>
        <w:pageBreakBefore w:val="0"/>
        <w:spacing w:line="480" w:lineRule="auto"/>
      </w:pPr>
      <w:r>
        <w:t>Two exploratory candidate models used median-imputed boosting with VT D3 excluded, leaving 49 predictors. A post hoc audit examined VT D3 by extraction batch and screening group, and fitted descriptive logistic models of the bone-mass label on VT D3 per 10 source units, age and sex, with and without group and batch indicators. Models were also fitted in first records. These audits cannot identify an assay mechanism or establish predictor timing; exclusion was retained because field identity and prospective availability remain unverified.</w:t>
      </w:r>
    </w:p>
    <w:p>
      <w:pPr>
        <w:pageBreakBefore w:val="0"/>
        <w:spacing w:line="480" w:lineRule="auto"/>
      </w:pPr>
      <w:r>
        <w:t>For each candidate configuration, screening-group-held-out predictions were regenerated. A threshold targeting 90% sensitivity was obtained in each evaluable group, and the median threshold was used as a common cutoff. Sensitivity and the proportion below that cutoff were then summarised across the same groups. Because threshold selection and evaluation used the same retrospective group collection, these operating points are exploratory rather than independently validated policy rules.</w:t>
      </w:r>
    </w:p>
    <w:p>
      <w:pPr>
        <w:pStyle w:val="Heading2"/>
        <w:pageBreakBefore w:val="0"/>
        <w:spacing w:line="480" w:lineRule="auto"/>
      </w:pPr>
      <w:r>
        <w:t>First recorded visit sensitivity analysis</w:t>
      </w:r>
    </w:p>
    <w:p>
      <w:pPr>
        <w:pageBreakBefore w:val="0"/>
        <w:spacing w:line="480" w:lineRule="auto"/>
      </w:pPr>
      <w:r>
        <w:t>We selected the earliest recorded visit for each reconstructed identity in the complete archive before applying endpoint eligibility. Exact Jalali year/month/day tuples determined order; 15 identities had tied earliest dates, resolved by processed row order. The resulting 12,246 first records need not be lifetime first visits and do not correct identity misclassification. We refitted native boosting with 50 predictors and median-imputed boosting with 49 predictors for the two headline endpoints, using the original settings under person-grouped and screening-group-held-out evaluation. Original full-cohort screening-group definitions and target-specific fold thresholds were retained. Full-cohort comparators were refitted in the same environment; all outer folds were checked for reconstructed-identity overlap. No new threshold was selected.</w:t>
      </w:r>
    </w:p>
    <w:p>
      <w:pPr>
        <w:pageBreakBefore w:val="0"/>
        <w:spacing w:line="480" w:lineRule="auto"/>
      </w:pPr>
      <w:r>
        <w:t>First-record AUROC intervals used 1,000 fixed-prediction bootstrap replicates (seed 20260916): resampling records for pooled person-grouped AUROC, or resampling within each fixed screening group before averaging group AUROCs. These intervals exclude refitting uncertainty and uncertainty from sampling new groups. Calibration intercept and slope were estimated jointly on pooled held-out predictions; Brier scores were also calculated. Comparisons restricted to screening groups evaluable in both cohorts describe group-composition effects but remain unpaired population comparisons (Additional file 2).</w:t>
      </w:r>
    </w:p>
    <w:p>
      <w:pPr>
        <w:pStyle w:val="Heading2"/>
        <w:pageBreakBefore w:val="0"/>
        <w:spacing w:line="480" w:lineRule="auto"/>
      </w:pPr>
      <w:r>
        <w:t>Ethics and reproducibility</w:t>
      </w:r>
    </w:p>
    <w:p>
      <w:pPr>
        <w:pageBreakBefore w:val="0"/>
        <w:spacing w:line="480" w:lineRule="auto"/>
      </w:pPr>
      <w:r>
        <w:t>[This study used retrospectively collected de-identified occupational health records. The dataset was accessed under institutional approval for research use. The requirement for individual informed consent was waived because all analysed data were de-identified before analysis.] The original archive contains source code, a minimum-version requirements file, tables, predictions, figures and model cards. Previous revision audits reproduced all 12 target counts and saved AUROCs for 11 group-held-out targets. The present revision additionally refitted the two headline endpoints in full and first-record cohorts using Python 3.12.14 and scikit-learn 1.8.0. Refit estimates are reported separately from historical saved-prediction results because the original exact environment was not pinned. Additional file 2 provides provenance and reproducibility details.</w:t>
      </w:r>
    </w:p>
    <w:p>
      <w:pPr>
        <w:pStyle w:val="Heading2"/>
        <w:pageBreakBefore w:val="0"/>
        <w:spacing w:line="480" w:lineRule="auto"/>
      </w:pPr>
      <w:r>
        <w:t>Use of generative AI</w:t>
      </w:r>
    </w:p>
    <w:p>
      <w:pPr>
        <w:pageBreakBefore w:val="0"/>
        <w:spacing w:line="480" w:lineRule="auto"/>
      </w:pPr>
      <w:r>
        <w:t>ChatGPT (OpenAI) assisted with drafting, language revision, code development for the audits and sensitivity analyses, and checking numerical and formatting consistency. Statistical calculations were executed in Python on the supplied project data. [AUTHORS TO CONFIRM BEFORE SUBMISSION: disclosed scope is complete and accurate; all outputs were reviewed; authors accept responsibility for the final content.] The model is not an author.</w:t>
      </w:r>
    </w:p>
    <w:p>
      <w:pPr>
        <w:pStyle w:val="Heading1"/>
        <w:pageBreakBefore w:val="0"/>
        <w:spacing w:line="480" w:lineRule="auto"/>
      </w:pPr>
      <w:r>
        <w:t>Results</w:t>
      </w:r>
    </w:p>
    <w:p>
      <w:pPr>
        <w:pStyle w:val="Heading2"/>
        <w:pageBreakBefore w:val="0"/>
        <w:spacing w:line="480" w:lineRule="auto"/>
      </w:pPr>
      <w:r>
        <w:t>Cohort and outcome availability</w:t>
      </w:r>
    </w:p>
    <w:p>
      <w:pPr>
        <w:pageBreakBefore w:val="0"/>
        <w:spacing w:line="480" w:lineRule="auto"/>
      </w:pPr>
      <w:r>
        <w:t>The cohort comprised 36,885 visits, including 23,150 visits by men and 13,735 by women. Median age was 37 years (IQR, 32–42), and median body mass index was 26.1 kg/m² (IQR, 23.6–28.7). Of 12,246 reconstructed identity groups, 7,606 had at least two visits and 5,051 had at least three. Usable age was available in 36,720 visits. At least 50% and at least 80% of the core panel were measured in 32,264 and 30,184 visits, respectively (Table 3).</w:t>
      </w:r>
    </w:p>
    <w:p>
      <w:pPr>
        <w:pStyle w:val="Heading2"/>
        <w:keepNext/>
        <w:pageBreakBefore w:val="0"/>
        <w:spacing w:before="200" w:after="100" w:line="480" w:lineRule="auto"/>
      </w:pPr>
      <w:r>
        <w:t>Table 3. Cohort characteristics</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3000"/>
        <w:gridCol w:w="2120"/>
        <w:gridCol w:w="2120"/>
        <w:gridCol w:w="2120"/>
      </w:tblGrid>
      <w:tr>
        <w:trPr>
          <w:cantSplit/>
          <w:tblHeader/>
        </w:trPr>
        <w:tc>
          <w:tcPr>
            <w:tcW w:type="dxa" w:w="3000"/>
            <w:shd w:fill="F4F6F9"/>
          </w:tcPr>
          <w:p>
            <w:pPr>
              <w:pStyle w:val="TableText"/>
              <w:keepNext/>
            </w:pPr>
            <w:r>
              <w:rPr>
                <w:b/>
              </w:rPr>
              <w:t>Characteristic</w:t>
            </w:r>
          </w:p>
        </w:tc>
        <w:tc>
          <w:tcPr>
            <w:tcW w:type="dxa" w:w="2120"/>
            <w:shd w:fill="F4F6F9"/>
          </w:tcPr>
          <w:p>
            <w:pPr>
              <w:pStyle w:val="TableText"/>
              <w:keepNext/>
            </w:pPr>
            <w:r>
              <w:rPr>
                <w:b/>
              </w:rPr>
              <w:t>All visits</w:t>
            </w:r>
          </w:p>
        </w:tc>
        <w:tc>
          <w:tcPr>
            <w:tcW w:type="dxa" w:w="2120"/>
            <w:shd w:fill="F4F6F9"/>
          </w:tcPr>
          <w:p>
            <w:pPr>
              <w:pStyle w:val="TableText"/>
              <w:keepNext/>
            </w:pPr>
            <w:r>
              <w:rPr>
                <w:b/>
              </w:rPr>
              <w:t>Men</w:t>
            </w:r>
          </w:p>
        </w:tc>
        <w:tc>
          <w:tcPr>
            <w:tcW w:type="dxa" w:w="2120"/>
            <w:shd w:fill="F4F6F9"/>
          </w:tcPr>
          <w:p>
            <w:pPr>
              <w:pStyle w:val="TableText"/>
              <w:keepNext/>
            </w:pPr>
            <w:r>
              <w:rPr>
                <w:b/>
              </w:rPr>
              <w:t>Women</w:t>
            </w:r>
          </w:p>
        </w:tc>
      </w:tr>
      <w:tr>
        <w:trPr>
          <w:cantSplit/>
        </w:trPr>
        <w:tc>
          <w:tcPr>
            <w:tcW w:type="dxa" w:w="3000"/>
          </w:tcPr>
          <w:p>
            <w:pPr>
              <w:pStyle w:val="TableText"/>
              <w:keepNext w:val="0"/>
            </w:pPr>
            <w:r>
              <w:t>Visits</w:t>
            </w:r>
          </w:p>
        </w:tc>
        <w:tc>
          <w:tcPr>
            <w:tcW w:type="dxa" w:w="2120"/>
          </w:tcPr>
          <w:p>
            <w:pPr>
              <w:pStyle w:val="TableText"/>
              <w:keepNext w:val="0"/>
            </w:pPr>
            <w:r>
              <w:t>36885</w:t>
            </w:r>
          </w:p>
        </w:tc>
        <w:tc>
          <w:tcPr>
            <w:tcW w:type="dxa" w:w="2120"/>
          </w:tcPr>
          <w:p>
            <w:pPr>
              <w:pStyle w:val="TableText"/>
              <w:keepNext w:val="0"/>
            </w:pPr>
            <w:r>
              <w:t>23150</w:t>
            </w:r>
          </w:p>
        </w:tc>
        <w:tc>
          <w:tcPr>
            <w:tcW w:type="dxa" w:w="2120"/>
          </w:tcPr>
          <w:p>
            <w:pPr>
              <w:pStyle w:val="TableText"/>
              <w:keepNext w:val="0"/>
            </w:pPr>
            <w:r>
              <w:t>13735</w:t>
            </w:r>
          </w:p>
        </w:tc>
      </w:tr>
      <w:tr>
        <w:trPr>
          <w:cantSplit/>
        </w:trPr>
        <w:tc>
          <w:tcPr>
            <w:tcW w:type="dxa" w:w="3000"/>
          </w:tcPr>
          <w:p>
            <w:pPr>
              <w:pStyle w:val="TableText"/>
              <w:keepNext w:val="0"/>
            </w:pPr>
            <w:r>
              <w:t>Reconstructed identities</w:t>
            </w:r>
          </w:p>
        </w:tc>
        <w:tc>
          <w:tcPr>
            <w:tcW w:type="dxa" w:w="2120"/>
          </w:tcPr>
          <w:p>
            <w:pPr>
              <w:pStyle w:val="TableText"/>
              <w:keepNext w:val="0"/>
            </w:pPr>
            <w:r>
              <w:t>12246</w:t>
            </w:r>
          </w:p>
        </w:tc>
        <w:tc>
          <w:tcPr>
            <w:tcW w:type="dxa" w:w="2120"/>
          </w:tcPr>
          <w:p>
            <w:pPr>
              <w:pStyle w:val="TableText"/>
              <w:keepNext w:val="0"/>
            </w:pPr>
            <w:r>
              <w:t>7267</w:t>
            </w:r>
          </w:p>
        </w:tc>
        <w:tc>
          <w:tcPr>
            <w:tcW w:type="dxa" w:w="2120"/>
          </w:tcPr>
          <w:p>
            <w:pPr>
              <w:pStyle w:val="TableText"/>
              <w:keepNext w:val="0"/>
            </w:pPr>
            <w:r>
              <w:t>4979</w:t>
            </w:r>
          </w:p>
        </w:tc>
      </w:tr>
      <w:tr>
        <w:trPr>
          <w:cantSplit/>
        </w:trPr>
        <w:tc>
          <w:tcPr>
            <w:tcW w:type="dxa" w:w="3000"/>
          </w:tcPr>
          <w:p>
            <w:pPr>
              <w:pStyle w:val="TableText"/>
              <w:keepNext w:val="0"/>
            </w:pPr>
            <w:r>
              <w:t>Age, years</w:t>
            </w:r>
          </w:p>
        </w:tc>
        <w:tc>
          <w:tcPr>
            <w:tcW w:type="dxa" w:w="2120"/>
          </w:tcPr>
          <w:p>
            <w:pPr>
              <w:pStyle w:val="TableText"/>
              <w:keepNext w:val="0"/>
            </w:pPr>
            <w:r>
              <w:t>37.0 (32.0-42.0)</w:t>
            </w:r>
          </w:p>
        </w:tc>
        <w:tc>
          <w:tcPr>
            <w:tcW w:type="dxa" w:w="2120"/>
          </w:tcPr>
          <w:p>
            <w:pPr>
              <w:pStyle w:val="TableText"/>
              <w:keepNext w:val="0"/>
            </w:pPr>
            <w:r>
              <w:t>38.0 (33.0-43.0)</w:t>
            </w:r>
          </w:p>
        </w:tc>
        <w:tc>
          <w:tcPr>
            <w:tcW w:type="dxa" w:w="2120"/>
          </w:tcPr>
          <w:p>
            <w:pPr>
              <w:pStyle w:val="TableText"/>
              <w:keepNext w:val="0"/>
            </w:pPr>
            <w:r>
              <w:t>36.0 (31.0-41.0)</w:t>
            </w:r>
          </w:p>
        </w:tc>
      </w:tr>
      <w:tr>
        <w:trPr>
          <w:cantSplit/>
        </w:trPr>
        <w:tc>
          <w:tcPr>
            <w:tcW w:type="dxa" w:w="3000"/>
          </w:tcPr>
          <w:p>
            <w:pPr>
              <w:pStyle w:val="TableText"/>
              <w:keepNext w:val="0"/>
            </w:pPr>
            <w:r>
              <w:t>BMI, kg/m²</w:t>
            </w:r>
          </w:p>
        </w:tc>
        <w:tc>
          <w:tcPr>
            <w:tcW w:type="dxa" w:w="2120"/>
          </w:tcPr>
          <w:p>
            <w:pPr>
              <w:pStyle w:val="TableText"/>
              <w:keepNext w:val="0"/>
            </w:pPr>
            <w:r>
              <w:t>26.1 (23.6-28.7)</w:t>
            </w:r>
          </w:p>
        </w:tc>
        <w:tc>
          <w:tcPr>
            <w:tcW w:type="dxa" w:w="2120"/>
          </w:tcPr>
          <w:p>
            <w:pPr>
              <w:pStyle w:val="TableText"/>
              <w:keepNext w:val="0"/>
            </w:pPr>
            <w:r>
              <w:t>26.8 (24.6-29.3)</w:t>
            </w:r>
          </w:p>
        </w:tc>
        <w:tc>
          <w:tcPr>
            <w:tcW w:type="dxa" w:w="2120"/>
          </w:tcPr>
          <w:p>
            <w:pPr>
              <w:pStyle w:val="TableText"/>
              <w:keepNext w:val="0"/>
            </w:pPr>
            <w:r>
              <w:t>24.4 (22.3-27.3)</w:t>
            </w:r>
          </w:p>
        </w:tc>
      </w:tr>
      <w:tr>
        <w:trPr>
          <w:cantSplit/>
        </w:trPr>
        <w:tc>
          <w:tcPr>
            <w:tcW w:type="dxa" w:w="3000"/>
          </w:tcPr>
          <w:p>
            <w:pPr>
              <w:pStyle w:val="TableText"/>
              <w:keepNext w:val="0"/>
            </w:pPr>
            <w:r>
              <w:t>Systolic pressure, mmHg</w:t>
            </w:r>
          </w:p>
        </w:tc>
        <w:tc>
          <w:tcPr>
            <w:tcW w:type="dxa" w:w="2120"/>
          </w:tcPr>
          <w:p>
            <w:pPr>
              <w:pStyle w:val="TableText"/>
              <w:keepNext w:val="0"/>
            </w:pPr>
            <w:r>
              <w:t>121.0 (111.0-131.0)</w:t>
            </w:r>
          </w:p>
        </w:tc>
        <w:tc>
          <w:tcPr>
            <w:tcW w:type="dxa" w:w="2120"/>
          </w:tcPr>
          <w:p>
            <w:pPr>
              <w:pStyle w:val="TableText"/>
              <w:keepNext w:val="0"/>
            </w:pPr>
            <w:r>
              <w:t>125.0 (117.0-134.0)</w:t>
            </w:r>
          </w:p>
        </w:tc>
        <w:tc>
          <w:tcPr>
            <w:tcW w:type="dxa" w:w="2120"/>
          </w:tcPr>
          <w:p>
            <w:pPr>
              <w:pStyle w:val="TableText"/>
              <w:keepNext w:val="0"/>
            </w:pPr>
            <w:r>
              <w:t>114.0 (105.0-122.0)</w:t>
            </w:r>
          </w:p>
        </w:tc>
      </w:tr>
      <w:tr>
        <w:trPr>
          <w:cantSplit/>
        </w:trPr>
        <w:tc>
          <w:tcPr>
            <w:tcW w:type="dxa" w:w="3000"/>
          </w:tcPr>
          <w:p>
            <w:pPr>
              <w:pStyle w:val="TableText"/>
              <w:keepNext w:val="0"/>
            </w:pPr>
            <w:r>
              <w:t>Diastolic pressure, mmHg</w:t>
            </w:r>
          </w:p>
        </w:tc>
        <w:tc>
          <w:tcPr>
            <w:tcW w:type="dxa" w:w="2120"/>
          </w:tcPr>
          <w:p>
            <w:pPr>
              <w:pStyle w:val="TableText"/>
              <w:keepNext w:val="0"/>
            </w:pPr>
            <w:r>
              <w:t>74.0 (66.0-81.0)</w:t>
            </w:r>
          </w:p>
        </w:tc>
        <w:tc>
          <w:tcPr>
            <w:tcW w:type="dxa" w:w="2120"/>
          </w:tcPr>
          <w:p>
            <w:pPr>
              <w:pStyle w:val="TableText"/>
              <w:keepNext w:val="0"/>
            </w:pPr>
            <w:r>
              <w:t>77.0 (69.0-84.0)</w:t>
            </w:r>
          </w:p>
        </w:tc>
        <w:tc>
          <w:tcPr>
            <w:tcW w:type="dxa" w:w="2120"/>
          </w:tcPr>
          <w:p>
            <w:pPr>
              <w:pStyle w:val="TableText"/>
              <w:keepNext w:val="0"/>
            </w:pPr>
            <w:r>
              <w:t>69.0 (62.0-77.0)</w:t>
            </w:r>
          </w:p>
        </w:tc>
      </w:tr>
      <w:tr>
        <w:trPr>
          <w:cantSplit/>
        </w:trPr>
        <w:tc>
          <w:tcPr>
            <w:tcW w:type="dxa" w:w="3000"/>
          </w:tcPr>
          <w:p>
            <w:pPr>
              <w:pStyle w:val="TableText"/>
              <w:keepNext w:val="0"/>
            </w:pPr>
            <w:r>
              <w:t>Fasting glucose, mg/dL</w:t>
            </w:r>
          </w:p>
        </w:tc>
        <w:tc>
          <w:tcPr>
            <w:tcW w:type="dxa" w:w="2120"/>
          </w:tcPr>
          <w:p>
            <w:pPr>
              <w:pStyle w:val="TableText"/>
              <w:keepNext w:val="0"/>
            </w:pPr>
            <w:r>
              <w:t>90.0 (85.0-95.0)</w:t>
            </w:r>
          </w:p>
        </w:tc>
        <w:tc>
          <w:tcPr>
            <w:tcW w:type="dxa" w:w="2120"/>
          </w:tcPr>
          <w:p>
            <w:pPr>
              <w:pStyle w:val="TableText"/>
              <w:keepNext w:val="0"/>
            </w:pPr>
            <w:r>
              <w:t>92.0 (87.0-97.0)</w:t>
            </w:r>
          </w:p>
        </w:tc>
        <w:tc>
          <w:tcPr>
            <w:tcW w:type="dxa" w:w="2120"/>
          </w:tcPr>
          <w:p>
            <w:pPr>
              <w:pStyle w:val="TableText"/>
              <w:keepNext w:val="0"/>
            </w:pPr>
            <w:r>
              <w:t>88.0 (83.0-92.0)</w:t>
            </w:r>
          </w:p>
        </w:tc>
      </w:tr>
      <w:tr>
        <w:trPr>
          <w:cantSplit/>
        </w:trPr>
        <w:tc>
          <w:tcPr>
            <w:tcW w:type="dxa" w:w="3000"/>
          </w:tcPr>
          <w:p>
            <w:pPr>
              <w:pStyle w:val="TableText"/>
              <w:keepNext w:val="0"/>
            </w:pPr>
            <w:r>
              <w:t>HbA1c, %</w:t>
            </w:r>
          </w:p>
        </w:tc>
        <w:tc>
          <w:tcPr>
            <w:tcW w:type="dxa" w:w="2120"/>
          </w:tcPr>
          <w:p>
            <w:pPr>
              <w:pStyle w:val="TableText"/>
              <w:keepNext w:val="0"/>
            </w:pPr>
            <w:r>
              <w:t>5.3 (5.0-5.5)</w:t>
            </w:r>
          </w:p>
        </w:tc>
        <w:tc>
          <w:tcPr>
            <w:tcW w:type="dxa" w:w="2120"/>
          </w:tcPr>
          <w:p>
            <w:pPr>
              <w:pStyle w:val="TableText"/>
              <w:keepNext w:val="0"/>
            </w:pPr>
            <w:r>
              <w:t>5.3 (5.0-5.5)</w:t>
            </w:r>
          </w:p>
        </w:tc>
        <w:tc>
          <w:tcPr>
            <w:tcW w:type="dxa" w:w="2120"/>
          </w:tcPr>
          <w:p>
            <w:pPr>
              <w:pStyle w:val="TableText"/>
              <w:keepNext w:val="0"/>
            </w:pPr>
            <w:r>
              <w:t>5.2 (5.0-5.5)</w:t>
            </w:r>
          </w:p>
        </w:tc>
      </w:tr>
      <w:tr>
        <w:trPr>
          <w:cantSplit/>
        </w:trPr>
        <w:tc>
          <w:tcPr>
            <w:tcW w:type="dxa" w:w="3000"/>
          </w:tcPr>
          <w:p>
            <w:pPr>
              <w:pStyle w:val="TableText"/>
              <w:keepNext w:val="0"/>
            </w:pPr>
            <w:r>
              <w:t>Total cholesterol, mg/dL</w:t>
            </w:r>
          </w:p>
        </w:tc>
        <w:tc>
          <w:tcPr>
            <w:tcW w:type="dxa" w:w="2120"/>
          </w:tcPr>
          <w:p>
            <w:pPr>
              <w:pStyle w:val="TableText"/>
              <w:keepNext w:val="0"/>
            </w:pPr>
            <w:r>
              <w:t>169.0 (149.0-190.0)</w:t>
            </w:r>
          </w:p>
        </w:tc>
        <w:tc>
          <w:tcPr>
            <w:tcW w:type="dxa" w:w="2120"/>
          </w:tcPr>
          <w:p>
            <w:pPr>
              <w:pStyle w:val="TableText"/>
              <w:keepNext w:val="0"/>
            </w:pPr>
            <w:r>
              <w:t>171.0 (150.0-194.0)</w:t>
            </w:r>
          </w:p>
        </w:tc>
        <w:tc>
          <w:tcPr>
            <w:tcW w:type="dxa" w:w="2120"/>
          </w:tcPr>
          <w:p>
            <w:pPr>
              <w:pStyle w:val="TableText"/>
              <w:keepNext w:val="0"/>
            </w:pPr>
            <w:r>
              <w:t>165.0 (146.1-185.0)</w:t>
            </w:r>
          </w:p>
        </w:tc>
      </w:tr>
      <w:tr>
        <w:trPr>
          <w:cantSplit/>
        </w:trPr>
        <w:tc>
          <w:tcPr>
            <w:tcW w:type="dxa" w:w="3000"/>
          </w:tcPr>
          <w:p>
            <w:pPr>
              <w:pStyle w:val="TableText"/>
              <w:keepNext w:val="0"/>
            </w:pPr>
            <w:r>
              <w:t>Triglycerides, mg/dL</w:t>
            </w:r>
          </w:p>
        </w:tc>
        <w:tc>
          <w:tcPr>
            <w:tcW w:type="dxa" w:w="2120"/>
          </w:tcPr>
          <w:p>
            <w:pPr>
              <w:pStyle w:val="TableText"/>
              <w:keepNext w:val="0"/>
            </w:pPr>
            <w:r>
              <w:t>110.0 (79.0-157.0)</w:t>
            </w:r>
          </w:p>
        </w:tc>
        <w:tc>
          <w:tcPr>
            <w:tcW w:type="dxa" w:w="2120"/>
          </w:tcPr>
          <w:p>
            <w:pPr>
              <w:pStyle w:val="TableText"/>
              <w:keepNext w:val="0"/>
            </w:pPr>
            <w:r>
              <w:t>129.0 (94.0-179.0)</w:t>
            </w:r>
          </w:p>
        </w:tc>
        <w:tc>
          <w:tcPr>
            <w:tcW w:type="dxa" w:w="2120"/>
          </w:tcPr>
          <w:p>
            <w:pPr>
              <w:pStyle w:val="TableText"/>
              <w:keepNext w:val="0"/>
            </w:pPr>
            <w:r>
              <w:t>85.0 (65.0-115.0)</w:t>
            </w:r>
          </w:p>
        </w:tc>
      </w:tr>
      <w:tr>
        <w:trPr>
          <w:cantSplit/>
        </w:trPr>
        <w:tc>
          <w:tcPr>
            <w:tcW w:type="dxa" w:w="3000"/>
          </w:tcPr>
          <w:p>
            <w:pPr>
              <w:pStyle w:val="TableText"/>
              <w:keepNext w:val="0"/>
            </w:pPr>
            <w:r>
              <w:t>HDL cholesterol, mg/dL</w:t>
            </w:r>
          </w:p>
        </w:tc>
        <w:tc>
          <w:tcPr>
            <w:tcW w:type="dxa" w:w="2120"/>
          </w:tcPr>
          <w:p>
            <w:pPr>
              <w:pStyle w:val="TableText"/>
              <w:keepNext w:val="0"/>
            </w:pPr>
            <w:r>
              <w:t>47.0 (41.0-54.0)</w:t>
            </w:r>
          </w:p>
        </w:tc>
        <w:tc>
          <w:tcPr>
            <w:tcW w:type="dxa" w:w="2120"/>
          </w:tcPr>
          <w:p>
            <w:pPr>
              <w:pStyle w:val="TableText"/>
              <w:keepNext w:val="0"/>
            </w:pPr>
            <w:r>
              <w:t>45.0 (40.0-50.0)</w:t>
            </w:r>
          </w:p>
        </w:tc>
        <w:tc>
          <w:tcPr>
            <w:tcW w:type="dxa" w:w="2120"/>
          </w:tcPr>
          <w:p>
            <w:pPr>
              <w:pStyle w:val="TableText"/>
              <w:keepNext w:val="0"/>
            </w:pPr>
            <w:r>
              <w:t>51.0 (46.0-58.0)</w:t>
            </w:r>
          </w:p>
        </w:tc>
      </w:tr>
      <w:tr>
        <w:trPr>
          <w:cantSplit/>
        </w:trPr>
        <w:tc>
          <w:tcPr>
            <w:tcW w:type="dxa" w:w="3000"/>
          </w:tcPr>
          <w:p>
            <w:pPr>
              <w:pStyle w:val="TableText"/>
              <w:keepNext/>
            </w:pPr>
            <w:r>
              <w:t>Creatinine, mg/dL</w:t>
            </w:r>
          </w:p>
        </w:tc>
        <w:tc>
          <w:tcPr>
            <w:tcW w:type="dxa" w:w="2120"/>
          </w:tcPr>
          <w:p>
            <w:pPr>
              <w:pStyle w:val="TableText"/>
              <w:keepNext/>
            </w:pPr>
            <w:r>
              <w:t>1.0 (0.9-1.1)</w:t>
            </w:r>
          </w:p>
        </w:tc>
        <w:tc>
          <w:tcPr>
            <w:tcW w:type="dxa" w:w="2120"/>
          </w:tcPr>
          <w:p>
            <w:pPr>
              <w:pStyle w:val="TableText"/>
              <w:keepNext/>
            </w:pPr>
            <w:r>
              <w:t>1.0 (1.0-1.1)</w:t>
            </w:r>
          </w:p>
        </w:tc>
        <w:tc>
          <w:tcPr>
            <w:tcW w:type="dxa" w:w="2120"/>
          </w:tcPr>
          <w:p>
            <w:pPr>
              <w:pStyle w:val="TableText"/>
              <w:keepNext/>
            </w:pPr>
            <w:r>
              <w:t>0.9 (0.9-0.9)</w:t>
            </w:r>
          </w:p>
        </w:tc>
      </w:tr>
    </w:tbl>
    <w:p>
      <w:pPr>
        <w:pStyle w:val="TableNote"/>
        <w:keepNext w:val="0"/>
        <w:pageBreakBefore w:val="0"/>
        <w:spacing w:after="180"/>
      </w:pPr>
      <w:r>
        <w:t>Continuous variables are median (IQR) among available observations. Counts of individuals are reconstructed identity groups. Laboratory units follow the project input documentation and require confirmation against the source laboratory.</w:t>
      </w:r>
    </w:p>
    <w:p>
      <w:pPr>
        <w:pageBreakBefore w:val="0"/>
        <w:spacing w:line="480" w:lineRule="auto"/>
      </w:pPr>
      <w:r>
        <w:t>Outcome-specific labelled samples ranged from 1,087 for mammography to 32,471 for the kidney-stone field (Table 4). Recorded low bone mass was present in 2,726 of 20,238 labelled visits (13.47%); heterogeneous prostate echotexture was present in 2,038 of 13,921 eligible visits (14.64%). These denominators represent observed-label samples, not estimated prevalence in all attendees. Module availability varied across groups; reported densitometry coverage ranged from 0.0% to 91.8% and echocardiography from 0.3% to 99.6%.</w:t>
      </w:r>
    </w:p>
    <w:p>
      <w:pPr>
        <w:pStyle w:val="Heading2"/>
        <w:keepNext/>
        <w:pageBreakBefore w:val="0"/>
        <w:spacing w:before="200" w:after="100" w:line="480" w:lineRule="auto"/>
      </w:pPr>
      <w:r>
        <w:t>Table 4. Recorded outcome availability</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4260"/>
        <w:gridCol w:w="1700"/>
        <w:gridCol w:w="1700"/>
        <w:gridCol w:w="1700"/>
      </w:tblGrid>
      <w:tr>
        <w:trPr>
          <w:cantSplit/>
          <w:tblHeader/>
        </w:trPr>
        <w:tc>
          <w:tcPr>
            <w:tcW w:type="dxa" w:w="4260"/>
            <w:shd w:fill="F4F6F9"/>
          </w:tcPr>
          <w:p>
            <w:pPr>
              <w:pStyle w:val="TableText"/>
              <w:keepNext/>
            </w:pPr>
            <w:r>
              <w:rPr>
                <w:b/>
              </w:rPr>
              <w:t>Outcome</w:t>
            </w:r>
          </w:p>
        </w:tc>
        <w:tc>
          <w:tcPr>
            <w:tcW w:type="dxa" w:w="1700"/>
            <w:shd w:fill="F4F6F9"/>
          </w:tcPr>
          <w:p>
            <w:pPr>
              <w:pStyle w:val="TableText"/>
              <w:keepNext/>
            </w:pPr>
            <w:r>
              <w:rPr>
                <w:b/>
              </w:rPr>
              <w:t>Labelled visits</w:t>
            </w:r>
          </w:p>
        </w:tc>
        <w:tc>
          <w:tcPr>
            <w:tcW w:type="dxa" w:w="1700"/>
            <w:shd w:fill="F4F6F9"/>
          </w:tcPr>
          <w:p>
            <w:pPr>
              <w:pStyle w:val="TableText"/>
              <w:keepNext/>
            </w:pPr>
            <w:r>
              <w:rPr>
                <w:b/>
              </w:rPr>
              <w:t>Positive labels</w:t>
            </w:r>
          </w:p>
        </w:tc>
        <w:tc>
          <w:tcPr>
            <w:tcW w:type="dxa" w:w="1700"/>
            <w:shd w:fill="F4F6F9"/>
          </w:tcPr>
          <w:p>
            <w:pPr>
              <w:pStyle w:val="TableText"/>
              <w:keepNext/>
            </w:pPr>
            <w:r>
              <w:rPr>
                <w:b/>
              </w:rPr>
              <w:t>Positive, %</w:t>
            </w:r>
          </w:p>
        </w:tc>
      </w:tr>
      <w:tr>
        <w:trPr>
          <w:cantSplit/>
        </w:trPr>
        <w:tc>
          <w:tcPr>
            <w:tcW w:type="dxa" w:w="4260"/>
          </w:tcPr>
          <w:p>
            <w:pPr>
              <w:pStyle w:val="TableText"/>
              <w:keepNext w:val="0"/>
            </w:pPr>
            <w:r>
              <w:t>Kidney stone</w:t>
            </w:r>
          </w:p>
        </w:tc>
        <w:tc>
          <w:tcPr>
            <w:tcW w:type="dxa" w:w="1700"/>
          </w:tcPr>
          <w:p>
            <w:pPr>
              <w:pStyle w:val="TableText"/>
              <w:keepNext w:val="0"/>
            </w:pPr>
            <w:r>
              <w:t>32,471</w:t>
            </w:r>
          </w:p>
        </w:tc>
        <w:tc>
          <w:tcPr>
            <w:tcW w:type="dxa" w:w="1700"/>
          </w:tcPr>
          <w:p>
            <w:pPr>
              <w:pStyle w:val="TableText"/>
              <w:keepNext w:val="0"/>
            </w:pPr>
            <w:r>
              <w:t>1,861</w:t>
            </w:r>
          </w:p>
        </w:tc>
        <w:tc>
          <w:tcPr>
            <w:tcW w:type="dxa" w:w="1700"/>
          </w:tcPr>
          <w:p>
            <w:pPr>
              <w:pStyle w:val="TableText"/>
              <w:keepNext w:val="0"/>
            </w:pPr>
            <w:r>
              <w:t>5.73</w:t>
            </w:r>
          </w:p>
        </w:tc>
      </w:tr>
      <w:tr>
        <w:trPr>
          <w:cantSplit/>
        </w:trPr>
        <w:tc>
          <w:tcPr>
            <w:tcW w:type="dxa" w:w="4260"/>
          </w:tcPr>
          <w:p>
            <w:pPr>
              <w:pStyle w:val="TableText"/>
              <w:keepNext w:val="0"/>
            </w:pPr>
            <w:r>
              <w:t>Hydronephrosis</w:t>
            </w:r>
          </w:p>
        </w:tc>
        <w:tc>
          <w:tcPr>
            <w:tcW w:type="dxa" w:w="1700"/>
          </w:tcPr>
          <w:p>
            <w:pPr>
              <w:pStyle w:val="TableText"/>
              <w:keepNext w:val="0"/>
            </w:pPr>
            <w:r>
              <w:t>32,377</w:t>
            </w:r>
          </w:p>
        </w:tc>
        <w:tc>
          <w:tcPr>
            <w:tcW w:type="dxa" w:w="1700"/>
          </w:tcPr>
          <w:p>
            <w:pPr>
              <w:pStyle w:val="TableText"/>
              <w:keepNext w:val="0"/>
            </w:pPr>
            <w:r>
              <w:t>237</w:t>
            </w:r>
          </w:p>
        </w:tc>
        <w:tc>
          <w:tcPr>
            <w:tcW w:type="dxa" w:w="1700"/>
          </w:tcPr>
          <w:p>
            <w:pPr>
              <w:pStyle w:val="TableText"/>
              <w:keepNext w:val="0"/>
            </w:pPr>
            <w:r>
              <w:t>0.73</w:t>
            </w:r>
          </w:p>
        </w:tc>
      </w:tr>
      <w:tr>
        <w:trPr>
          <w:cantSplit/>
        </w:trPr>
        <w:tc>
          <w:tcPr>
            <w:tcW w:type="dxa" w:w="4260"/>
          </w:tcPr>
          <w:p>
            <w:pPr>
              <w:pStyle w:val="TableText"/>
              <w:keepNext w:val="0"/>
            </w:pPr>
            <w:r>
              <w:t>Gallstones</w:t>
            </w:r>
          </w:p>
        </w:tc>
        <w:tc>
          <w:tcPr>
            <w:tcW w:type="dxa" w:w="1700"/>
          </w:tcPr>
          <w:p>
            <w:pPr>
              <w:pStyle w:val="TableText"/>
              <w:keepNext w:val="0"/>
            </w:pPr>
            <w:r>
              <w:t>31,832</w:t>
            </w:r>
          </w:p>
        </w:tc>
        <w:tc>
          <w:tcPr>
            <w:tcW w:type="dxa" w:w="1700"/>
          </w:tcPr>
          <w:p>
            <w:pPr>
              <w:pStyle w:val="TableText"/>
              <w:keepNext w:val="0"/>
            </w:pPr>
            <w:r>
              <w:t>815</w:t>
            </w:r>
          </w:p>
        </w:tc>
        <w:tc>
          <w:tcPr>
            <w:tcW w:type="dxa" w:w="1700"/>
          </w:tcPr>
          <w:p>
            <w:pPr>
              <w:pStyle w:val="TableText"/>
              <w:keepNext w:val="0"/>
            </w:pPr>
            <w:r>
              <w:t>2.56</w:t>
            </w:r>
          </w:p>
        </w:tc>
      </w:tr>
      <w:tr>
        <w:trPr>
          <w:cantSplit/>
        </w:trPr>
        <w:tc>
          <w:tcPr>
            <w:tcW w:type="dxa" w:w="4260"/>
          </w:tcPr>
          <w:p>
            <w:pPr>
              <w:pStyle w:val="TableText"/>
              <w:keepNext w:val="0"/>
            </w:pPr>
            <w:r>
              <w:t>Nephrolithiasis</w:t>
            </w:r>
          </w:p>
        </w:tc>
        <w:tc>
          <w:tcPr>
            <w:tcW w:type="dxa" w:w="1700"/>
          </w:tcPr>
          <w:p>
            <w:pPr>
              <w:pStyle w:val="TableText"/>
              <w:keepNext w:val="0"/>
            </w:pPr>
            <w:r>
              <w:t>31,772</w:t>
            </w:r>
          </w:p>
        </w:tc>
        <w:tc>
          <w:tcPr>
            <w:tcW w:type="dxa" w:w="1700"/>
          </w:tcPr>
          <w:p>
            <w:pPr>
              <w:pStyle w:val="TableText"/>
              <w:keepNext w:val="0"/>
            </w:pPr>
            <w:r>
              <w:t>2,416</w:t>
            </w:r>
          </w:p>
        </w:tc>
        <w:tc>
          <w:tcPr>
            <w:tcW w:type="dxa" w:w="1700"/>
          </w:tcPr>
          <w:p>
            <w:pPr>
              <w:pStyle w:val="TableText"/>
              <w:keepNext w:val="0"/>
            </w:pPr>
            <w:r>
              <w:t>7.60</w:t>
            </w:r>
          </w:p>
        </w:tc>
      </w:tr>
      <w:tr>
        <w:trPr>
          <w:cantSplit/>
        </w:trPr>
        <w:tc>
          <w:tcPr>
            <w:tcW w:type="dxa" w:w="4260"/>
          </w:tcPr>
          <w:p>
            <w:pPr>
              <w:pStyle w:val="TableText"/>
              <w:keepNext w:val="0"/>
            </w:pPr>
            <w:r>
              <w:t>Recorded low bone mass</w:t>
            </w:r>
          </w:p>
        </w:tc>
        <w:tc>
          <w:tcPr>
            <w:tcW w:type="dxa" w:w="1700"/>
          </w:tcPr>
          <w:p>
            <w:pPr>
              <w:pStyle w:val="TableText"/>
              <w:keepNext w:val="0"/>
            </w:pPr>
            <w:r>
              <w:t>20,238</w:t>
            </w:r>
          </w:p>
        </w:tc>
        <w:tc>
          <w:tcPr>
            <w:tcW w:type="dxa" w:w="1700"/>
          </w:tcPr>
          <w:p>
            <w:pPr>
              <w:pStyle w:val="TableText"/>
              <w:keepNext w:val="0"/>
            </w:pPr>
            <w:r>
              <w:t>2,726</w:t>
            </w:r>
          </w:p>
        </w:tc>
        <w:tc>
          <w:tcPr>
            <w:tcW w:type="dxa" w:w="1700"/>
          </w:tcPr>
          <w:p>
            <w:pPr>
              <w:pStyle w:val="TableText"/>
              <w:keepNext w:val="0"/>
            </w:pPr>
            <w:r>
              <w:t>13.47</w:t>
            </w:r>
          </w:p>
        </w:tc>
      </w:tr>
      <w:tr>
        <w:trPr>
          <w:cantSplit/>
        </w:trPr>
        <w:tc>
          <w:tcPr>
            <w:tcW w:type="dxa" w:w="4260"/>
          </w:tcPr>
          <w:p>
            <w:pPr>
              <w:pStyle w:val="TableText"/>
              <w:keepNext w:val="0"/>
            </w:pPr>
            <w:r>
              <w:t>Recorded mitral regurgitation ≥mild</w:t>
            </w:r>
          </w:p>
        </w:tc>
        <w:tc>
          <w:tcPr>
            <w:tcW w:type="dxa" w:w="1700"/>
          </w:tcPr>
          <w:p>
            <w:pPr>
              <w:pStyle w:val="TableText"/>
              <w:keepNext w:val="0"/>
            </w:pPr>
            <w:r>
              <w:t>19,382</w:t>
            </w:r>
          </w:p>
        </w:tc>
        <w:tc>
          <w:tcPr>
            <w:tcW w:type="dxa" w:w="1700"/>
          </w:tcPr>
          <w:p>
            <w:pPr>
              <w:pStyle w:val="TableText"/>
              <w:keepNext w:val="0"/>
            </w:pPr>
            <w:r>
              <w:t>15,835</w:t>
            </w:r>
          </w:p>
        </w:tc>
        <w:tc>
          <w:tcPr>
            <w:tcW w:type="dxa" w:w="1700"/>
          </w:tcPr>
          <w:p>
            <w:pPr>
              <w:pStyle w:val="TableText"/>
              <w:keepNext w:val="0"/>
            </w:pPr>
            <w:r>
              <w:t>81.70</w:t>
            </w:r>
          </w:p>
        </w:tc>
      </w:tr>
      <w:tr>
        <w:trPr>
          <w:cantSplit/>
        </w:trPr>
        <w:tc>
          <w:tcPr>
            <w:tcW w:type="dxa" w:w="4260"/>
          </w:tcPr>
          <w:p>
            <w:pPr>
              <w:pStyle w:val="TableText"/>
              <w:keepNext w:val="0"/>
            </w:pPr>
            <w:r>
              <w:t>Mitral valve abnormality</w:t>
            </w:r>
          </w:p>
        </w:tc>
        <w:tc>
          <w:tcPr>
            <w:tcW w:type="dxa" w:w="1700"/>
          </w:tcPr>
          <w:p>
            <w:pPr>
              <w:pStyle w:val="TableText"/>
              <w:keepNext w:val="0"/>
            </w:pPr>
            <w:r>
              <w:t>17,550</w:t>
            </w:r>
          </w:p>
        </w:tc>
        <w:tc>
          <w:tcPr>
            <w:tcW w:type="dxa" w:w="1700"/>
          </w:tcPr>
          <w:p>
            <w:pPr>
              <w:pStyle w:val="TableText"/>
              <w:keepNext w:val="0"/>
            </w:pPr>
            <w:r>
              <w:t>491</w:t>
            </w:r>
          </w:p>
        </w:tc>
        <w:tc>
          <w:tcPr>
            <w:tcW w:type="dxa" w:w="1700"/>
          </w:tcPr>
          <w:p>
            <w:pPr>
              <w:pStyle w:val="TableText"/>
              <w:keepNext w:val="0"/>
            </w:pPr>
            <w:r>
              <w:t>2.80</w:t>
            </w:r>
          </w:p>
        </w:tc>
      </w:tr>
      <w:tr>
        <w:trPr>
          <w:cantSplit/>
        </w:trPr>
        <w:tc>
          <w:tcPr>
            <w:tcW w:type="dxa" w:w="4260"/>
          </w:tcPr>
          <w:p>
            <w:pPr>
              <w:pStyle w:val="TableText"/>
              <w:keepNext w:val="0"/>
            </w:pPr>
            <w:r>
              <w:t>Prostate echotexture, heterogeneous</w:t>
            </w:r>
          </w:p>
        </w:tc>
        <w:tc>
          <w:tcPr>
            <w:tcW w:type="dxa" w:w="1700"/>
          </w:tcPr>
          <w:p>
            <w:pPr>
              <w:pStyle w:val="TableText"/>
              <w:keepNext w:val="0"/>
            </w:pPr>
            <w:r>
              <w:t>13,921</w:t>
            </w:r>
          </w:p>
        </w:tc>
        <w:tc>
          <w:tcPr>
            <w:tcW w:type="dxa" w:w="1700"/>
          </w:tcPr>
          <w:p>
            <w:pPr>
              <w:pStyle w:val="TableText"/>
              <w:keepNext w:val="0"/>
            </w:pPr>
            <w:r>
              <w:t>2,038</w:t>
            </w:r>
          </w:p>
        </w:tc>
        <w:tc>
          <w:tcPr>
            <w:tcW w:type="dxa" w:w="1700"/>
          </w:tcPr>
          <w:p>
            <w:pPr>
              <w:pStyle w:val="TableText"/>
              <w:keepNext w:val="0"/>
            </w:pPr>
            <w:r>
              <w:t>14.64</w:t>
            </w:r>
          </w:p>
        </w:tc>
      </w:tr>
      <w:tr>
        <w:trPr>
          <w:cantSplit/>
        </w:trPr>
        <w:tc>
          <w:tcPr>
            <w:tcW w:type="dxa" w:w="4260"/>
          </w:tcPr>
          <w:p>
            <w:pPr>
              <w:pStyle w:val="TableText"/>
              <w:keepNext w:val="0"/>
            </w:pPr>
            <w:r>
              <w:t>K6 score ≥13</w:t>
            </w:r>
          </w:p>
        </w:tc>
        <w:tc>
          <w:tcPr>
            <w:tcW w:type="dxa" w:w="1700"/>
          </w:tcPr>
          <w:p>
            <w:pPr>
              <w:pStyle w:val="TableText"/>
              <w:keepNext w:val="0"/>
            </w:pPr>
            <w:r>
              <w:t>13,697</w:t>
            </w:r>
          </w:p>
        </w:tc>
        <w:tc>
          <w:tcPr>
            <w:tcW w:type="dxa" w:w="1700"/>
          </w:tcPr>
          <w:p>
            <w:pPr>
              <w:pStyle w:val="TableText"/>
              <w:keepNext w:val="0"/>
            </w:pPr>
            <w:r>
              <w:t>340</w:t>
            </w:r>
          </w:p>
        </w:tc>
        <w:tc>
          <w:tcPr>
            <w:tcW w:type="dxa" w:w="1700"/>
          </w:tcPr>
          <w:p>
            <w:pPr>
              <w:pStyle w:val="TableText"/>
              <w:keepNext w:val="0"/>
            </w:pPr>
            <w:r>
              <w:t>2.48</w:t>
            </w:r>
          </w:p>
        </w:tc>
      </w:tr>
      <w:tr>
        <w:trPr>
          <w:cantSplit/>
        </w:trPr>
        <w:tc>
          <w:tcPr>
            <w:tcW w:type="dxa" w:w="4260"/>
          </w:tcPr>
          <w:p>
            <w:pPr>
              <w:pStyle w:val="TableText"/>
              <w:keepNext w:val="0"/>
            </w:pPr>
            <w:r>
              <w:t>Any positive toxicology field</w:t>
            </w:r>
          </w:p>
        </w:tc>
        <w:tc>
          <w:tcPr>
            <w:tcW w:type="dxa" w:w="1700"/>
          </w:tcPr>
          <w:p>
            <w:pPr>
              <w:pStyle w:val="TableText"/>
              <w:keepNext w:val="0"/>
            </w:pPr>
            <w:r>
              <w:t>4,730</w:t>
            </w:r>
          </w:p>
        </w:tc>
        <w:tc>
          <w:tcPr>
            <w:tcW w:type="dxa" w:w="1700"/>
          </w:tcPr>
          <w:p>
            <w:pPr>
              <w:pStyle w:val="TableText"/>
              <w:keepNext w:val="0"/>
            </w:pPr>
            <w:r>
              <w:t>263</w:t>
            </w:r>
          </w:p>
        </w:tc>
        <w:tc>
          <w:tcPr>
            <w:tcW w:type="dxa" w:w="1700"/>
          </w:tcPr>
          <w:p>
            <w:pPr>
              <w:pStyle w:val="TableText"/>
              <w:keepNext w:val="0"/>
            </w:pPr>
            <w:r>
              <w:t>5.56</w:t>
            </w:r>
          </w:p>
        </w:tc>
      </w:tr>
      <w:tr>
        <w:trPr>
          <w:cantSplit/>
        </w:trPr>
        <w:tc>
          <w:tcPr>
            <w:tcW w:type="dxa" w:w="4260"/>
          </w:tcPr>
          <w:p>
            <w:pPr>
              <w:pStyle w:val="TableText"/>
              <w:keepNext w:val="0"/>
            </w:pPr>
            <w:r>
              <w:t>Carotid abnormality</w:t>
            </w:r>
          </w:p>
        </w:tc>
        <w:tc>
          <w:tcPr>
            <w:tcW w:type="dxa" w:w="1700"/>
          </w:tcPr>
          <w:p>
            <w:pPr>
              <w:pStyle w:val="TableText"/>
              <w:keepNext w:val="0"/>
            </w:pPr>
            <w:r>
              <w:t>1,651</w:t>
            </w:r>
          </w:p>
        </w:tc>
        <w:tc>
          <w:tcPr>
            <w:tcW w:type="dxa" w:w="1700"/>
          </w:tcPr>
          <w:p>
            <w:pPr>
              <w:pStyle w:val="TableText"/>
              <w:keepNext w:val="0"/>
            </w:pPr>
            <w:r>
              <w:t>57</w:t>
            </w:r>
          </w:p>
        </w:tc>
        <w:tc>
          <w:tcPr>
            <w:tcW w:type="dxa" w:w="1700"/>
          </w:tcPr>
          <w:p>
            <w:pPr>
              <w:pStyle w:val="TableText"/>
              <w:keepNext w:val="0"/>
            </w:pPr>
            <w:r>
              <w:t>3.45</w:t>
            </w:r>
          </w:p>
        </w:tc>
      </w:tr>
      <w:tr>
        <w:trPr>
          <w:cantSplit/>
        </w:trPr>
        <w:tc>
          <w:tcPr>
            <w:tcW w:type="dxa" w:w="4260"/>
          </w:tcPr>
          <w:p>
            <w:pPr>
              <w:pStyle w:val="TableText"/>
              <w:keepNext/>
            </w:pPr>
            <w:r>
              <w:t>Mammography BI-RADS 3–6</w:t>
            </w:r>
          </w:p>
        </w:tc>
        <w:tc>
          <w:tcPr>
            <w:tcW w:type="dxa" w:w="1700"/>
          </w:tcPr>
          <w:p>
            <w:pPr>
              <w:pStyle w:val="TableText"/>
              <w:keepNext/>
            </w:pPr>
            <w:r>
              <w:t>1,087</w:t>
            </w:r>
          </w:p>
        </w:tc>
        <w:tc>
          <w:tcPr>
            <w:tcW w:type="dxa" w:w="1700"/>
          </w:tcPr>
          <w:p>
            <w:pPr>
              <w:pStyle w:val="TableText"/>
              <w:keepNext/>
            </w:pPr>
            <w:r>
              <w:t>277</w:t>
            </w:r>
          </w:p>
        </w:tc>
        <w:tc>
          <w:tcPr>
            <w:tcW w:type="dxa" w:w="1700"/>
          </w:tcPr>
          <w:p>
            <w:pPr>
              <w:pStyle w:val="TableText"/>
              <w:keepNext/>
            </w:pPr>
            <w:r>
              <w:t>25.48</w:t>
            </w:r>
          </w:p>
        </w:tc>
      </w:tr>
    </w:tbl>
    <w:p>
      <w:pPr>
        <w:pStyle w:val="TableNote"/>
        <w:keepNext w:val="0"/>
        <w:pageBreakBefore w:val="0"/>
        <w:spacing w:after="180"/>
      </w:pPr>
      <w:r>
        <w:t>Each outcome has a separate observed-label denominator. Prostate labels are male-restricted and mammography labels female-restricted. Percentages are not population prevalence estimates. No overall-cohort coverage percentages are used for sex-specific comparisons.</w:t>
      </w:r>
    </w:p>
    <w:p>
      <w:pPr>
        <w:pStyle w:val="Heading2"/>
        <w:pageBreakBefore w:val="0"/>
        <w:spacing w:line="480" w:lineRule="auto"/>
      </w:pPr>
      <w:r>
        <w:t>Reference-category audit</w:t>
      </w:r>
    </w:p>
    <w:p>
      <w:pPr>
        <w:pageBreakBefore w:val="0"/>
        <w:spacing w:line="480" w:lineRule="auto"/>
      </w:pPr>
      <w:r>
        <w:t>BMD- and T-score-filed categories agreed in all 12,185 paired left-hip records and all 15,409 paired lumbar-spine records. Their different marginal abnormality frequencies therefore did not indicate category disagreement among paired observations. Availability was strongly associated with the BMD-filed category: left-hip abnormality was recorded in 170 of 12,185 visits with a corresponding T-score category (1.4%) and 1,931 of 6,156 without one (31.4%). Corresponding lumbar-spine proportions were 110 of 15,409 (0.7%) and 1,316 of 4,228 (31.1%). In addition, 2,481 visits classified as negative for the combined bone-mass endpoint had a category at only one of the two sites. These are export-level findings and do not verify numerical densitometry interpretation (Table 5).</w:t>
      </w:r>
    </w:p>
    <w:p>
      <w:pPr>
        <w:pStyle w:val="Heading2"/>
        <w:keepNext/>
        <w:pageBreakBefore w:val="0"/>
        <w:spacing w:before="200" w:after="100" w:line="480" w:lineRule="auto"/>
      </w:pPr>
      <w:r>
        <w:t>Table 5. Paired category and availability audit</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1440"/>
        <w:gridCol w:w="1500"/>
        <w:gridCol w:w="1500"/>
        <w:gridCol w:w="2460"/>
        <w:gridCol w:w="2460"/>
      </w:tblGrid>
      <w:tr>
        <w:trPr>
          <w:cantSplit/>
          <w:tblHeader/>
        </w:trPr>
        <w:tc>
          <w:tcPr>
            <w:tcW w:type="dxa" w:w="1440"/>
            <w:shd w:fill="F4F6F9"/>
          </w:tcPr>
          <w:p>
            <w:pPr>
              <w:pStyle w:val="TableText"/>
              <w:keepNext/>
            </w:pPr>
            <w:r>
              <w:rPr>
                <w:b/>
              </w:rPr>
              <w:t>Site</w:t>
            </w:r>
          </w:p>
        </w:tc>
        <w:tc>
          <w:tcPr>
            <w:tcW w:type="dxa" w:w="1500"/>
            <w:shd w:fill="F4F6F9"/>
          </w:tcPr>
          <w:p>
            <w:pPr>
              <w:pStyle w:val="TableText"/>
              <w:keepNext/>
            </w:pPr>
            <w:r>
              <w:rPr>
                <w:b/>
              </w:rPr>
              <w:t>Paired categories</w:t>
            </w:r>
          </w:p>
        </w:tc>
        <w:tc>
          <w:tcPr>
            <w:tcW w:type="dxa" w:w="1500"/>
            <w:shd w:fill="F4F6F9"/>
          </w:tcPr>
          <w:p>
            <w:pPr>
              <w:pStyle w:val="TableText"/>
              <w:keepNext/>
            </w:pPr>
            <w:r>
              <w:rPr>
                <w:b/>
              </w:rPr>
              <w:t>Disagreeing pairs</w:t>
            </w:r>
          </w:p>
        </w:tc>
        <w:tc>
          <w:tcPr>
            <w:tcW w:type="dxa" w:w="2460"/>
            <w:shd w:fill="F4F6F9"/>
          </w:tcPr>
          <w:p>
            <w:pPr>
              <w:pStyle w:val="TableText"/>
              <w:keepNext/>
            </w:pPr>
            <w:r>
              <w:rPr>
                <w:b/>
              </w:rPr>
              <w:t>BMD abnormal with T-score category</w:t>
            </w:r>
          </w:p>
        </w:tc>
        <w:tc>
          <w:tcPr>
            <w:tcW w:type="dxa" w:w="2460"/>
            <w:shd w:fill="F4F6F9"/>
          </w:tcPr>
          <w:p>
            <w:pPr>
              <w:pStyle w:val="TableText"/>
              <w:keepNext/>
            </w:pPr>
            <w:r>
              <w:rPr>
                <w:b/>
              </w:rPr>
              <w:t>BMD abnormal without T-score category</w:t>
            </w:r>
          </w:p>
        </w:tc>
      </w:tr>
      <w:tr>
        <w:trPr>
          <w:cantSplit/>
        </w:trPr>
        <w:tc>
          <w:tcPr>
            <w:tcW w:type="dxa" w:w="1440"/>
          </w:tcPr>
          <w:p>
            <w:pPr>
              <w:pStyle w:val="TableText"/>
              <w:keepNext/>
            </w:pPr>
            <w:r>
              <w:t>Left hip</w:t>
            </w:r>
          </w:p>
        </w:tc>
        <w:tc>
          <w:tcPr>
            <w:tcW w:type="dxa" w:w="1500"/>
          </w:tcPr>
          <w:p>
            <w:pPr>
              <w:pStyle w:val="TableText"/>
              <w:keepNext/>
            </w:pPr>
            <w:r>
              <w:t>12,185</w:t>
            </w:r>
          </w:p>
        </w:tc>
        <w:tc>
          <w:tcPr>
            <w:tcW w:type="dxa" w:w="1500"/>
          </w:tcPr>
          <w:p>
            <w:pPr>
              <w:pStyle w:val="TableText"/>
              <w:keepNext/>
            </w:pPr>
            <w:r>
              <w:t>0</w:t>
            </w:r>
          </w:p>
        </w:tc>
        <w:tc>
          <w:tcPr>
            <w:tcW w:type="dxa" w:w="2460"/>
          </w:tcPr>
          <w:p>
            <w:pPr>
              <w:pStyle w:val="TableText"/>
              <w:keepNext/>
            </w:pPr>
            <w:r>
              <w:t>170/12,185 (1.4%)</w:t>
            </w:r>
          </w:p>
        </w:tc>
        <w:tc>
          <w:tcPr>
            <w:tcW w:type="dxa" w:w="2460"/>
          </w:tcPr>
          <w:p>
            <w:pPr>
              <w:pStyle w:val="TableText"/>
              <w:keepNext/>
            </w:pPr>
            <w:r>
              <w:t>1,931/6,156 (31.4%)</w:t>
            </w:r>
          </w:p>
        </w:tc>
      </w:tr>
      <w:tr>
        <w:trPr>
          <w:cantSplit/>
        </w:trPr>
        <w:tc>
          <w:tcPr>
            <w:tcW w:type="dxa" w:w="1440"/>
          </w:tcPr>
          <w:p>
            <w:pPr>
              <w:pStyle w:val="TableText"/>
              <w:keepNext/>
            </w:pPr>
            <w:r>
              <w:t>Lumbar spine</w:t>
            </w:r>
          </w:p>
        </w:tc>
        <w:tc>
          <w:tcPr>
            <w:tcW w:type="dxa" w:w="1500"/>
          </w:tcPr>
          <w:p>
            <w:pPr>
              <w:pStyle w:val="TableText"/>
              <w:keepNext/>
            </w:pPr>
            <w:r>
              <w:t>15,409</w:t>
            </w:r>
          </w:p>
        </w:tc>
        <w:tc>
          <w:tcPr>
            <w:tcW w:type="dxa" w:w="1500"/>
          </w:tcPr>
          <w:p>
            <w:pPr>
              <w:pStyle w:val="TableText"/>
              <w:keepNext/>
            </w:pPr>
            <w:r>
              <w:t>0</w:t>
            </w:r>
          </w:p>
        </w:tc>
        <w:tc>
          <w:tcPr>
            <w:tcW w:type="dxa" w:w="2460"/>
          </w:tcPr>
          <w:p>
            <w:pPr>
              <w:pStyle w:val="TableText"/>
              <w:keepNext/>
            </w:pPr>
            <w:r>
              <w:t>110/15,409 (0.7%)</w:t>
            </w:r>
          </w:p>
        </w:tc>
        <w:tc>
          <w:tcPr>
            <w:tcW w:type="dxa" w:w="2460"/>
          </w:tcPr>
          <w:p>
            <w:pPr>
              <w:pStyle w:val="TableText"/>
              <w:keepNext/>
            </w:pPr>
            <w:r>
              <w:t>1,316/4,228 (31.1%)</w:t>
            </w:r>
          </w:p>
        </w:tc>
      </w:tr>
    </w:tbl>
    <w:p>
      <w:pPr>
        <w:pStyle w:val="TableNote"/>
        <w:keepNext w:val="0"/>
        <w:pageBreakBefore w:val="0"/>
        <w:spacing w:after="180"/>
      </w:pPr>
      <w:r>
        <w:t>Post hoc audit of processed records. Abnormal means a BMD-filed category of osteopenia or osteoporosis. Denominators in the final two columns are visits with a BMD category, divided by whether a same-site T-score category is recorded. Categories agree among paired records, but availability differs by recorded category. This does not adjudicate the numeric measurements or the appropriateness of the diagnosis. A further 2,481 negative combined-endpoint labels used a category from only one of the two sites.</w:t>
      </w:r>
    </w:p>
    <w:p>
      <w:pPr>
        <w:pStyle w:val="Heading2"/>
        <w:pageBreakBefore w:val="0"/>
        <w:spacing w:line="480" w:lineRule="auto"/>
      </w:pPr>
      <w:r>
        <w:t>Discrimination across targets and models</w:t>
      </w:r>
    </w:p>
    <w:p>
      <w:pPr>
        <w:pageBreakBefore w:val="0"/>
        <w:spacing w:line="480" w:lineRule="auto"/>
      </w:pPr>
      <w:r>
        <w:t>For full-panel native boosting, mean within-group AUROC was 0.774 (95% conditional bootstrap interval, 0.757–0.790; between-group SD, 0.098) for prostate echotexture and 0.733 (0.715–0.750; SD, 0.085) for recorded low bone mass. The corresponding evaluations comprised 8,203 visits across 10 groups and 15,404 visits across 12 groups. Lower mean within-group AUROCs were observed for kidney stone (0.663), K6 score at least 13 (0.660), nephrolithiasis (0.649), gallstones (0.643), and the remaining evaluable targets (Table 6). No eligible held-out-group result was available for carotid abnormalities.</w:t>
      </w:r>
    </w:p>
    <w:p>
      <w:pPr>
        <w:pStyle w:val="Heading2"/>
        <w:keepNext/>
        <w:pageBreakBefore w:val="0"/>
        <w:spacing w:before="200" w:after="100" w:line="480" w:lineRule="auto"/>
      </w:pPr>
      <w:r>
        <w:t>Table 6. Discrimination across held-out screening groups</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2820"/>
        <w:gridCol w:w="950"/>
        <w:gridCol w:w="850"/>
        <w:gridCol w:w="2280"/>
        <w:gridCol w:w="1060"/>
        <w:gridCol w:w="1400"/>
      </w:tblGrid>
      <w:tr>
        <w:trPr>
          <w:cantSplit/>
          <w:tblHeader/>
        </w:trPr>
        <w:tc>
          <w:tcPr>
            <w:tcW w:type="dxa" w:w="2820"/>
            <w:shd w:fill="F4F6F9"/>
          </w:tcPr>
          <w:p>
            <w:pPr>
              <w:pStyle w:val="TableText"/>
              <w:keepNext/>
            </w:pPr>
            <w:r>
              <w:t>Outcome</w:t>
            </w:r>
          </w:p>
        </w:tc>
        <w:tc>
          <w:tcPr>
            <w:tcW w:type="dxa" w:w="950"/>
            <w:shd w:fill="F4F6F9"/>
          </w:tcPr>
          <w:p>
            <w:pPr>
              <w:pStyle w:val="TableText"/>
              <w:keepNext/>
            </w:pPr>
            <w:r>
              <w:t>Visits</w:t>
            </w:r>
          </w:p>
        </w:tc>
        <w:tc>
          <w:tcPr>
            <w:tcW w:type="dxa" w:w="850"/>
            <w:shd w:fill="F4F6F9"/>
          </w:tcPr>
          <w:p>
            <w:pPr>
              <w:pStyle w:val="TableText"/>
              <w:keepNext/>
            </w:pPr>
            <w:r>
              <w:t>Groups</w:t>
            </w:r>
          </w:p>
        </w:tc>
        <w:tc>
          <w:tcPr>
            <w:tcW w:type="dxa" w:w="2280"/>
            <w:shd w:fill="F4F6F9"/>
          </w:tcPr>
          <w:p>
            <w:pPr>
              <w:pStyle w:val="TableText"/>
              <w:keepNext/>
            </w:pPr>
            <w:r>
              <w:t>Mean AUROC (95% interval)</w:t>
            </w:r>
          </w:p>
        </w:tc>
        <w:tc>
          <w:tcPr>
            <w:tcW w:type="dxa" w:w="1060"/>
            <w:shd w:fill="F4F6F9"/>
          </w:tcPr>
          <w:p>
            <w:pPr>
              <w:pStyle w:val="TableText"/>
              <w:keepNext/>
            </w:pPr>
            <w:r>
              <w:t>Group SD</w:t>
            </w:r>
          </w:p>
        </w:tc>
        <w:tc>
          <w:tcPr>
            <w:tcW w:type="dxa" w:w="1400"/>
            <w:shd w:fill="F4F6F9"/>
          </w:tcPr>
          <w:p>
            <w:pPr>
              <w:pStyle w:val="TableText"/>
              <w:keepNext/>
            </w:pPr>
            <w:r>
              <w:t>Pooled AUROC</w:t>
            </w:r>
          </w:p>
        </w:tc>
      </w:tr>
      <w:tr>
        <w:trPr>
          <w:cantSplit/>
        </w:trPr>
        <w:tc>
          <w:tcPr>
            <w:tcW w:type="dxa" w:w="2820"/>
          </w:tcPr>
          <w:p>
            <w:pPr>
              <w:pStyle w:val="TableText"/>
              <w:keepNext w:val="0"/>
            </w:pPr>
            <w:r>
              <w:t>Prostate echotexture, heterogeneous</w:t>
            </w:r>
          </w:p>
        </w:tc>
        <w:tc>
          <w:tcPr>
            <w:tcW w:type="dxa" w:w="950"/>
          </w:tcPr>
          <w:p>
            <w:pPr>
              <w:pStyle w:val="TableText"/>
              <w:keepNext w:val="0"/>
            </w:pPr>
            <w:r>
              <w:t>8,203</w:t>
            </w:r>
          </w:p>
        </w:tc>
        <w:tc>
          <w:tcPr>
            <w:tcW w:type="dxa" w:w="850"/>
          </w:tcPr>
          <w:p>
            <w:pPr>
              <w:pStyle w:val="TableText"/>
              <w:keepNext w:val="0"/>
            </w:pPr>
            <w:r>
              <w:t>10</w:t>
            </w:r>
          </w:p>
        </w:tc>
        <w:tc>
          <w:tcPr>
            <w:tcW w:type="dxa" w:w="2280"/>
          </w:tcPr>
          <w:p>
            <w:pPr>
              <w:pStyle w:val="TableText"/>
              <w:keepNext w:val="0"/>
            </w:pPr>
            <w:r>
              <w:t>0.774 (0.757–0.790)</w:t>
            </w:r>
          </w:p>
        </w:tc>
        <w:tc>
          <w:tcPr>
            <w:tcW w:type="dxa" w:w="1060"/>
          </w:tcPr>
          <w:p>
            <w:pPr>
              <w:pStyle w:val="TableText"/>
              <w:keepNext w:val="0"/>
            </w:pPr>
            <w:r>
              <w:t>0.098</w:t>
            </w:r>
          </w:p>
        </w:tc>
        <w:tc>
          <w:tcPr>
            <w:tcW w:type="dxa" w:w="1400"/>
          </w:tcPr>
          <w:p>
            <w:pPr>
              <w:pStyle w:val="TableText"/>
              <w:keepNext w:val="0"/>
            </w:pPr>
            <w:r>
              <w:t>0.815</w:t>
            </w:r>
          </w:p>
        </w:tc>
      </w:tr>
      <w:tr>
        <w:trPr>
          <w:cantSplit/>
        </w:trPr>
        <w:tc>
          <w:tcPr>
            <w:tcW w:type="dxa" w:w="2820"/>
          </w:tcPr>
          <w:p>
            <w:pPr>
              <w:pStyle w:val="TableText"/>
              <w:keepNext w:val="0"/>
            </w:pPr>
            <w:r>
              <w:t>Recorded low bone mass</w:t>
            </w:r>
          </w:p>
        </w:tc>
        <w:tc>
          <w:tcPr>
            <w:tcW w:type="dxa" w:w="950"/>
          </w:tcPr>
          <w:p>
            <w:pPr>
              <w:pStyle w:val="TableText"/>
              <w:keepNext w:val="0"/>
            </w:pPr>
            <w:r>
              <w:t>15,404</w:t>
            </w:r>
          </w:p>
        </w:tc>
        <w:tc>
          <w:tcPr>
            <w:tcW w:type="dxa" w:w="850"/>
          </w:tcPr>
          <w:p>
            <w:pPr>
              <w:pStyle w:val="TableText"/>
              <w:keepNext w:val="0"/>
            </w:pPr>
            <w:r>
              <w:t>12</w:t>
            </w:r>
          </w:p>
        </w:tc>
        <w:tc>
          <w:tcPr>
            <w:tcW w:type="dxa" w:w="2280"/>
          </w:tcPr>
          <w:p>
            <w:pPr>
              <w:pStyle w:val="TableText"/>
              <w:keepNext w:val="0"/>
            </w:pPr>
            <w:r>
              <w:t>0.733 (0.715–0.750)</w:t>
            </w:r>
          </w:p>
        </w:tc>
        <w:tc>
          <w:tcPr>
            <w:tcW w:type="dxa" w:w="1060"/>
          </w:tcPr>
          <w:p>
            <w:pPr>
              <w:pStyle w:val="TableText"/>
              <w:keepNext w:val="0"/>
            </w:pPr>
            <w:r>
              <w:t>0.085</w:t>
            </w:r>
          </w:p>
        </w:tc>
        <w:tc>
          <w:tcPr>
            <w:tcW w:type="dxa" w:w="1400"/>
          </w:tcPr>
          <w:p>
            <w:pPr>
              <w:pStyle w:val="TableText"/>
              <w:keepNext w:val="0"/>
            </w:pPr>
            <w:r>
              <w:t>0.747</w:t>
            </w:r>
          </w:p>
        </w:tc>
      </w:tr>
      <w:tr>
        <w:trPr>
          <w:cantSplit/>
        </w:trPr>
        <w:tc>
          <w:tcPr>
            <w:tcW w:type="dxa" w:w="2820"/>
          </w:tcPr>
          <w:p>
            <w:pPr>
              <w:pStyle w:val="TableText"/>
              <w:keepNext w:val="0"/>
            </w:pPr>
            <w:r>
              <w:t>Kidney stone</w:t>
            </w:r>
          </w:p>
        </w:tc>
        <w:tc>
          <w:tcPr>
            <w:tcW w:type="dxa" w:w="950"/>
          </w:tcPr>
          <w:p>
            <w:pPr>
              <w:pStyle w:val="TableText"/>
              <w:keepNext w:val="0"/>
            </w:pPr>
            <w:r>
              <w:t>25,302</w:t>
            </w:r>
          </w:p>
        </w:tc>
        <w:tc>
          <w:tcPr>
            <w:tcW w:type="dxa" w:w="850"/>
          </w:tcPr>
          <w:p>
            <w:pPr>
              <w:pStyle w:val="TableText"/>
              <w:keepNext w:val="0"/>
            </w:pPr>
            <w:r>
              <w:t>15</w:t>
            </w:r>
          </w:p>
        </w:tc>
        <w:tc>
          <w:tcPr>
            <w:tcW w:type="dxa" w:w="2280"/>
          </w:tcPr>
          <w:p>
            <w:pPr>
              <w:pStyle w:val="TableText"/>
              <w:keepNext w:val="0"/>
            </w:pPr>
            <w:r>
              <w:t>0.663 (0.640–0.684)</w:t>
            </w:r>
          </w:p>
        </w:tc>
        <w:tc>
          <w:tcPr>
            <w:tcW w:type="dxa" w:w="1060"/>
          </w:tcPr>
          <w:p>
            <w:pPr>
              <w:pStyle w:val="TableText"/>
              <w:keepNext w:val="0"/>
            </w:pPr>
            <w:r>
              <w:t>0.060</w:t>
            </w:r>
          </w:p>
        </w:tc>
        <w:tc>
          <w:tcPr>
            <w:tcW w:type="dxa" w:w="1400"/>
          </w:tcPr>
          <w:p>
            <w:pPr>
              <w:pStyle w:val="TableText"/>
              <w:keepNext w:val="0"/>
            </w:pPr>
            <w:r>
              <w:t>0.688</w:t>
            </w:r>
          </w:p>
        </w:tc>
      </w:tr>
      <w:tr>
        <w:trPr>
          <w:cantSplit/>
        </w:trPr>
        <w:tc>
          <w:tcPr>
            <w:tcW w:type="dxa" w:w="2820"/>
          </w:tcPr>
          <w:p>
            <w:pPr>
              <w:pStyle w:val="TableText"/>
              <w:keepNext w:val="0"/>
            </w:pPr>
            <w:r>
              <w:t>K6 score ≥13</w:t>
            </w:r>
          </w:p>
        </w:tc>
        <w:tc>
          <w:tcPr>
            <w:tcW w:type="dxa" w:w="950"/>
          </w:tcPr>
          <w:p>
            <w:pPr>
              <w:pStyle w:val="TableText"/>
              <w:keepNext w:val="0"/>
            </w:pPr>
            <w:r>
              <w:t>7,035</w:t>
            </w:r>
          </w:p>
        </w:tc>
        <w:tc>
          <w:tcPr>
            <w:tcW w:type="dxa" w:w="850"/>
          </w:tcPr>
          <w:p>
            <w:pPr>
              <w:pStyle w:val="TableText"/>
              <w:keepNext w:val="0"/>
            </w:pPr>
            <w:r>
              <w:t>7</w:t>
            </w:r>
          </w:p>
        </w:tc>
        <w:tc>
          <w:tcPr>
            <w:tcW w:type="dxa" w:w="2280"/>
          </w:tcPr>
          <w:p>
            <w:pPr>
              <w:pStyle w:val="TableText"/>
              <w:keepNext w:val="0"/>
            </w:pPr>
            <w:r>
              <w:t>0.660 (0.620–0.698)</w:t>
            </w:r>
          </w:p>
        </w:tc>
        <w:tc>
          <w:tcPr>
            <w:tcW w:type="dxa" w:w="1060"/>
          </w:tcPr>
          <w:p>
            <w:pPr>
              <w:pStyle w:val="TableText"/>
              <w:keepNext w:val="0"/>
            </w:pPr>
            <w:r>
              <w:t>0.077</w:t>
            </w:r>
          </w:p>
        </w:tc>
        <w:tc>
          <w:tcPr>
            <w:tcW w:type="dxa" w:w="1400"/>
          </w:tcPr>
          <w:p>
            <w:pPr>
              <w:pStyle w:val="TableText"/>
              <w:keepNext w:val="0"/>
            </w:pPr>
            <w:r>
              <w:t>0.655</w:t>
            </w:r>
          </w:p>
        </w:tc>
      </w:tr>
      <w:tr>
        <w:trPr>
          <w:cantSplit/>
        </w:trPr>
        <w:tc>
          <w:tcPr>
            <w:tcW w:type="dxa" w:w="2820"/>
          </w:tcPr>
          <w:p>
            <w:pPr>
              <w:pStyle w:val="TableText"/>
              <w:keepNext w:val="0"/>
            </w:pPr>
            <w:r>
              <w:t>Nephrolithiasis</w:t>
            </w:r>
          </w:p>
        </w:tc>
        <w:tc>
          <w:tcPr>
            <w:tcW w:type="dxa" w:w="950"/>
          </w:tcPr>
          <w:p>
            <w:pPr>
              <w:pStyle w:val="TableText"/>
              <w:keepNext w:val="0"/>
            </w:pPr>
            <w:r>
              <w:t>23,874</w:t>
            </w:r>
          </w:p>
        </w:tc>
        <w:tc>
          <w:tcPr>
            <w:tcW w:type="dxa" w:w="850"/>
          </w:tcPr>
          <w:p>
            <w:pPr>
              <w:pStyle w:val="TableText"/>
              <w:keepNext w:val="0"/>
            </w:pPr>
            <w:r>
              <w:t>14</w:t>
            </w:r>
          </w:p>
        </w:tc>
        <w:tc>
          <w:tcPr>
            <w:tcW w:type="dxa" w:w="2280"/>
          </w:tcPr>
          <w:p>
            <w:pPr>
              <w:pStyle w:val="TableText"/>
              <w:keepNext w:val="0"/>
            </w:pPr>
            <w:r>
              <w:t>0.649 (0.621–0.676)</w:t>
            </w:r>
          </w:p>
        </w:tc>
        <w:tc>
          <w:tcPr>
            <w:tcW w:type="dxa" w:w="1060"/>
          </w:tcPr>
          <w:p>
            <w:pPr>
              <w:pStyle w:val="TableText"/>
              <w:keepNext w:val="0"/>
            </w:pPr>
            <w:r>
              <w:t>0.115</w:t>
            </w:r>
          </w:p>
        </w:tc>
        <w:tc>
          <w:tcPr>
            <w:tcW w:type="dxa" w:w="1400"/>
          </w:tcPr>
          <w:p>
            <w:pPr>
              <w:pStyle w:val="TableText"/>
              <w:keepNext w:val="0"/>
            </w:pPr>
            <w:r>
              <w:t>0.770</w:t>
            </w:r>
          </w:p>
        </w:tc>
      </w:tr>
      <w:tr>
        <w:trPr>
          <w:cantSplit/>
        </w:trPr>
        <w:tc>
          <w:tcPr>
            <w:tcW w:type="dxa" w:w="2820"/>
          </w:tcPr>
          <w:p>
            <w:pPr>
              <w:pStyle w:val="TableText"/>
              <w:keepNext w:val="0"/>
            </w:pPr>
            <w:r>
              <w:t>Gallstones</w:t>
            </w:r>
          </w:p>
        </w:tc>
        <w:tc>
          <w:tcPr>
            <w:tcW w:type="dxa" w:w="950"/>
          </w:tcPr>
          <w:p>
            <w:pPr>
              <w:pStyle w:val="TableText"/>
              <w:keepNext w:val="0"/>
            </w:pPr>
            <w:r>
              <w:t>23,335</w:t>
            </w:r>
          </w:p>
        </w:tc>
        <w:tc>
          <w:tcPr>
            <w:tcW w:type="dxa" w:w="850"/>
          </w:tcPr>
          <w:p>
            <w:pPr>
              <w:pStyle w:val="TableText"/>
              <w:keepNext w:val="0"/>
            </w:pPr>
            <w:r>
              <w:t>12</w:t>
            </w:r>
          </w:p>
        </w:tc>
        <w:tc>
          <w:tcPr>
            <w:tcW w:type="dxa" w:w="2280"/>
          </w:tcPr>
          <w:p>
            <w:pPr>
              <w:pStyle w:val="TableText"/>
              <w:keepNext w:val="0"/>
            </w:pPr>
            <w:r>
              <w:t>0.643 (0.608–0.678)</w:t>
            </w:r>
          </w:p>
        </w:tc>
        <w:tc>
          <w:tcPr>
            <w:tcW w:type="dxa" w:w="1060"/>
          </w:tcPr>
          <w:p>
            <w:pPr>
              <w:pStyle w:val="TableText"/>
              <w:keepNext w:val="0"/>
            </w:pPr>
            <w:r>
              <w:t>0.051</w:t>
            </w:r>
          </w:p>
        </w:tc>
        <w:tc>
          <w:tcPr>
            <w:tcW w:type="dxa" w:w="1400"/>
          </w:tcPr>
          <w:p>
            <w:pPr>
              <w:pStyle w:val="TableText"/>
              <w:keepNext w:val="0"/>
            </w:pPr>
            <w:r>
              <w:t>0.659</w:t>
            </w:r>
          </w:p>
        </w:tc>
      </w:tr>
      <w:tr>
        <w:trPr>
          <w:cantSplit/>
        </w:trPr>
        <w:tc>
          <w:tcPr>
            <w:tcW w:type="dxa" w:w="2820"/>
          </w:tcPr>
          <w:p>
            <w:pPr>
              <w:pStyle w:val="TableText"/>
              <w:keepNext w:val="0"/>
            </w:pPr>
            <w:r>
              <w:t>Mitral valve abnormality</w:t>
            </w:r>
          </w:p>
        </w:tc>
        <w:tc>
          <w:tcPr>
            <w:tcW w:type="dxa" w:w="950"/>
          </w:tcPr>
          <w:p>
            <w:pPr>
              <w:pStyle w:val="TableText"/>
              <w:keepNext w:val="0"/>
            </w:pPr>
            <w:r>
              <w:t>11,365</w:t>
            </w:r>
          </w:p>
        </w:tc>
        <w:tc>
          <w:tcPr>
            <w:tcW w:type="dxa" w:w="850"/>
          </w:tcPr>
          <w:p>
            <w:pPr>
              <w:pStyle w:val="TableText"/>
              <w:keepNext w:val="0"/>
            </w:pPr>
            <w:r>
              <w:t>10</w:t>
            </w:r>
          </w:p>
        </w:tc>
        <w:tc>
          <w:tcPr>
            <w:tcW w:type="dxa" w:w="2280"/>
          </w:tcPr>
          <w:p>
            <w:pPr>
              <w:pStyle w:val="TableText"/>
              <w:keepNext w:val="0"/>
            </w:pPr>
            <w:r>
              <w:t>0.620 (0.575–0.668)</w:t>
            </w:r>
          </w:p>
        </w:tc>
        <w:tc>
          <w:tcPr>
            <w:tcW w:type="dxa" w:w="1060"/>
          </w:tcPr>
          <w:p>
            <w:pPr>
              <w:pStyle w:val="TableText"/>
              <w:keepNext w:val="0"/>
            </w:pPr>
            <w:r>
              <w:t>0.053</w:t>
            </w:r>
          </w:p>
        </w:tc>
        <w:tc>
          <w:tcPr>
            <w:tcW w:type="dxa" w:w="1400"/>
          </w:tcPr>
          <w:p>
            <w:pPr>
              <w:pStyle w:val="TableText"/>
              <w:keepNext w:val="0"/>
            </w:pPr>
            <w:r>
              <w:t>0.573</w:t>
            </w:r>
          </w:p>
        </w:tc>
      </w:tr>
      <w:tr>
        <w:trPr>
          <w:cantSplit/>
        </w:trPr>
        <w:tc>
          <w:tcPr>
            <w:tcW w:type="dxa" w:w="2820"/>
          </w:tcPr>
          <w:p>
            <w:pPr>
              <w:pStyle w:val="TableText"/>
              <w:keepNext w:val="0"/>
            </w:pPr>
            <w:r>
              <w:t>Recorded mitral regurgitation ≥mild</w:t>
            </w:r>
          </w:p>
        </w:tc>
        <w:tc>
          <w:tcPr>
            <w:tcW w:type="dxa" w:w="950"/>
          </w:tcPr>
          <w:p>
            <w:pPr>
              <w:pStyle w:val="TableText"/>
              <w:keepNext w:val="0"/>
            </w:pPr>
            <w:r>
              <w:t>14,410</w:t>
            </w:r>
          </w:p>
        </w:tc>
        <w:tc>
          <w:tcPr>
            <w:tcW w:type="dxa" w:w="850"/>
          </w:tcPr>
          <w:p>
            <w:pPr>
              <w:pStyle w:val="TableText"/>
              <w:keepNext w:val="0"/>
            </w:pPr>
            <w:r>
              <w:t>14</w:t>
            </w:r>
          </w:p>
        </w:tc>
        <w:tc>
          <w:tcPr>
            <w:tcW w:type="dxa" w:w="2280"/>
          </w:tcPr>
          <w:p>
            <w:pPr>
              <w:pStyle w:val="TableText"/>
              <w:keepNext w:val="0"/>
            </w:pPr>
            <w:r>
              <w:t>0.600 (0.582–0.618)</w:t>
            </w:r>
          </w:p>
        </w:tc>
        <w:tc>
          <w:tcPr>
            <w:tcW w:type="dxa" w:w="1060"/>
          </w:tcPr>
          <w:p>
            <w:pPr>
              <w:pStyle w:val="TableText"/>
              <w:keepNext w:val="0"/>
            </w:pPr>
            <w:r>
              <w:t>0.075</w:t>
            </w:r>
          </w:p>
        </w:tc>
        <w:tc>
          <w:tcPr>
            <w:tcW w:type="dxa" w:w="1400"/>
          </w:tcPr>
          <w:p>
            <w:pPr>
              <w:pStyle w:val="TableText"/>
              <w:keepNext w:val="0"/>
            </w:pPr>
            <w:r>
              <w:t>0.609</w:t>
            </w:r>
          </w:p>
        </w:tc>
      </w:tr>
      <w:tr>
        <w:trPr>
          <w:cantSplit/>
        </w:trPr>
        <w:tc>
          <w:tcPr>
            <w:tcW w:type="dxa" w:w="2820"/>
          </w:tcPr>
          <w:p>
            <w:pPr>
              <w:pStyle w:val="TableText"/>
              <w:keepNext w:val="0"/>
            </w:pPr>
            <w:r>
              <w:t>Mammography BI-RADS 3–6</w:t>
            </w:r>
          </w:p>
        </w:tc>
        <w:tc>
          <w:tcPr>
            <w:tcW w:type="dxa" w:w="950"/>
          </w:tcPr>
          <w:p>
            <w:pPr>
              <w:pStyle w:val="TableText"/>
              <w:keepNext w:val="0"/>
            </w:pPr>
            <w:r>
              <w:t>500</w:t>
            </w:r>
          </w:p>
        </w:tc>
        <w:tc>
          <w:tcPr>
            <w:tcW w:type="dxa" w:w="850"/>
          </w:tcPr>
          <w:p>
            <w:pPr>
              <w:pStyle w:val="TableText"/>
              <w:keepNext w:val="0"/>
            </w:pPr>
            <w:r>
              <w:t>2</w:t>
            </w:r>
          </w:p>
        </w:tc>
        <w:tc>
          <w:tcPr>
            <w:tcW w:type="dxa" w:w="2280"/>
          </w:tcPr>
          <w:p>
            <w:pPr>
              <w:pStyle w:val="TableText"/>
              <w:keepNext w:val="0"/>
            </w:pPr>
            <w:r>
              <w:t>0.572 (0.518–0.622)</w:t>
            </w:r>
          </w:p>
        </w:tc>
        <w:tc>
          <w:tcPr>
            <w:tcW w:type="dxa" w:w="1060"/>
          </w:tcPr>
          <w:p>
            <w:pPr>
              <w:pStyle w:val="TableText"/>
              <w:keepNext w:val="0"/>
            </w:pPr>
            <w:r>
              <w:t>0.055</w:t>
            </w:r>
          </w:p>
        </w:tc>
        <w:tc>
          <w:tcPr>
            <w:tcW w:type="dxa" w:w="1400"/>
          </w:tcPr>
          <w:p>
            <w:pPr>
              <w:pStyle w:val="TableText"/>
              <w:keepNext w:val="0"/>
            </w:pPr>
            <w:r>
              <w:t>0.564</w:t>
            </w:r>
          </w:p>
        </w:tc>
      </w:tr>
      <w:tr>
        <w:trPr>
          <w:cantSplit/>
        </w:trPr>
        <w:tc>
          <w:tcPr>
            <w:tcW w:type="dxa" w:w="2820"/>
          </w:tcPr>
          <w:p>
            <w:pPr>
              <w:pStyle w:val="TableText"/>
              <w:keepNext w:val="0"/>
            </w:pPr>
            <w:r>
              <w:t>Hydronephrosis</w:t>
            </w:r>
          </w:p>
        </w:tc>
        <w:tc>
          <w:tcPr>
            <w:tcW w:type="dxa" w:w="950"/>
          </w:tcPr>
          <w:p>
            <w:pPr>
              <w:pStyle w:val="TableText"/>
              <w:keepNext w:val="0"/>
            </w:pPr>
            <w:r>
              <w:t>19,002</w:t>
            </w:r>
          </w:p>
        </w:tc>
        <w:tc>
          <w:tcPr>
            <w:tcW w:type="dxa" w:w="850"/>
          </w:tcPr>
          <w:p>
            <w:pPr>
              <w:pStyle w:val="TableText"/>
              <w:keepNext w:val="0"/>
            </w:pPr>
            <w:r>
              <w:t>5</w:t>
            </w:r>
          </w:p>
        </w:tc>
        <w:tc>
          <w:tcPr>
            <w:tcW w:type="dxa" w:w="2280"/>
          </w:tcPr>
          <w:p>
            <w:pPr>
              <w:pStyle w:val="TableText"/>
              <w:keepNext w:val="0"/>
            </w:pPr>
            <w:r>
              <w:t>0.563 (0.508–0.621)</w:t>
            </w:r>
          </w:p>
        </w:tc>
        <w:tc>
          <w:tcPr>
            <w:tcW w:type="dxa" w:w="1060"/>
          </w:tcPr>
          <w:p>
            <w:pPr>
              <w:pStyle w:val="TableText"/>
              <w:keepNext w:val="0"/>
            </w:pPr>
            <w:r>
              <w:t>0.038</w:t>
            </w:r>
          </w:p>
        </w:tc>
        <w:tc>
          <w:tcPr>
            <w:tcW w:type="dxa" w:w="1400"/>
          </w:tcPr>
          <w:p>
            <w:pPr>
              <w:pStyle w:val="TableText"/>
              <w:keepNext w:val="0"/>
            </w:pPr>
            <w:r>
              <w:t>0.563</w:t>
            </w:r>
          </w:p>
        </w:tc>
      </w:tr>
      <w:tr>
        <w:trPr>
          <w:cantSplit/>
        </w:trPr>
        <w:tc>
          <w:tcPr>
            <w:tcW w:type="dxa" w:w="2820"/>
          </w:tcPr>
          <w:p>
            <w:pPr>
              <w:pStyle w:val="TableText"/>
              <w:keepNext/>
            </w:pPr>
            <w:r>
              <w:t>Any positive toxicology field</w:t>
            </w:r>
          </w:p>
        </w:tc>
        <w:tc>
          <w:tcPr>
            <w:tcW w:type="dxa" w:w="950"/>
          </w:tcPr>
          <w:p>
            <w:pPr>
              <w:pStyle w:val="TableText"/>
              <w:keepNext/>
            </w:pPr>
            <w:r>
              <w:t>3,261</w:t>
            </w:r>
          </w:p>
        </w:tc>
        <w:tc>
          <w:tcPr>
            <w:tcW w:type="dxa" w:w="850"/>
          </w:tcPr>
          <w:p>
            <w:pPr>
              <w:pStyle w:val="TableText"/>
              <w:keepNext/>
            </w:pPr>
            <w:r>
              <w:t>2</w:t>
            </w:r>
          </w:p>
        </w:tc>
        <w:tc>
          <w:tcPr>
            <w:tcW w:type="dxa" w:w="2280"/>
          </w:tcPr>
          <w:p>
            <w:pPr>
              <w:pStyle w:val="TableText"/>
              <w:keepNext/>
            </w:pPr>
            <w:r>
              <w:t>0.535 (0.483–0.585)</w:t>
            </w:r>
          </w:p>
        </w:tc>
        <w:tc>
          <w:tcPr>
            <w:tcW w:type="dxa" w:w="1060"/>
          </w:tcPr>
          <w:p>
            <w:pPr>
              <w:pStyle w:val="TableText"/>
              <w:keepNext/>
            </w:pPr>
            <w:r>
              <w:t>0.018</w:t>
            </w:r>
          </w:p>
        </w:tc>
        <w:tc>
          <w:tcPr>
            <w:tcW w:type="dxa" w:w="1400"/>
          </w:tcPr>
          <w:p>
            <w:pPr>
              <w:pStyle w:val="TableText"/>
              <w:keepNext/>
            </w:pPr>
            <w:r>
              <w:t>0.513</w:t>
            </w:r>
          </w:p>
        </w:tc>
      </w:tr>
    </w:tbl>
    <w:p>
      <w:pPr>
        <w:pStyle w:val="TableNote"/>
        <w:keepNext w:val="0"/>
        <w:pageBreakBefore w:val="0"/>
        <w:spacing w:after="180"/>
      </w:pPr>
      <w:r>
        <w:t>Full 50-predictor native boosting. Means weight groups equally. New intervals use 2,000 identity-cluster bootstrap replicates conditional on fixed predictions and evaluated groups; they do not quantify transfer to new groups. SD describes between-group variation. Target-specific eligibility changes the evaluation sample; carotid abnormalities had no qualifying fold.</w:t>
      </w:r>
    </w:p>
    <w:p>
      <w:pPr>
        <w:pageBreakBefore w:val="0"/>
        <w:spacing w:line="480" w:lineRule="auto"/>
      </w:pPr>
      <w:r>
        <w:t>The logistic model had a mean within-group AUROC of 0.695 for low bone mass, compared with 0.733 for native boosting. For prostate echotexture, logistic regression and native boosting were nearly identical (0.775 and 0.774). The paired mean-AUROC difference for boosting minus logistic regression was 0.038 (95% conditional interval, 0.024–0.052) for low bone mass and −0.001 (−0.012–0.011) for prostate echotexture (Table 7). These findings support target-specific model comparisons and provide no evidence of a general advantage for boosting. Imputed full-panel boosting yielded mean within-group AUROCs of 0.723 for low bone mass and 0.775 for prostate echotexture.</w:t>
      </w:r>
    </w:p>
    <w:p>
      <w:pPr>
        <w:pageBreakBefore w:val="0"/>
        <w:spacing w:line="480" w:lineRule="auto"/>
      </w:pPr>
      <w:r>
        <w:t>Adding chemistry to demographics and vital measurements increased mean within-group AUROC from 0.660 to 0.733 for low bone mass and from 0.704 to 0.776 for prostate echotexture. Adding haematology yielded 0.733 and 0.774, respectively. For gallstones, adding chemistry changed AUROC from 0.603 to 0.610. The paired chemistry increments were 0.073 (95% conditional interval, 0.057–0.089) for low bone mass and 0.072 (0.056–0.089) for prostate echotexture. Adding haematology yielded differences of less than 0.001 (−0.007–0.008) and −0.002 (−0.011–0.008), respectively (Table 7). These results do not establish equivalence between feature sets.</w:t>
      </w:r>
    </w:p>
    <w:p>
      <w:pPr>
        <w:pStyle w:val="Heading2"/>
        <w:keepNext/>
        <w:pageBreakBefore w:val="0"/>
        <w:spacing w:before="200" w:after="100" w:line="480" w:lineRule="auto"/>
      </w:pPr>
      <w:r>
        <w:t>Table 7. Paired differences in mean within-group AUROC</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2480"/>
        <w:gridCol w:w="3400"/>
        <w:gridCol w:w="1180"/>
        <w:gridCol w:w="2300"/>
      </w:tblGrid>
      <w:tr>
        <w:trPr>
          <w:cantSplit/>
          <w:tblHeader/>
        </w:trPr>
        <w:tc>
          <w:tcPr>
            <w:tcW w:type="dxa" w:w="2480"/>
            <w:shd w:fill="F4F6F9"/>
          </w:tcPr>
          <w:p>
            <w:pPr>
              <w:pStyle w:val="TableText"/>
              <w:keepNext/>
            </w:pPr>
            <w:r>
              <w:t>Outcome</w:t>
            </w:r>
          </w:p>
        </w:tc>
        <w:tc>
          <w:tcPr>
            <w:tcW w:type="dxa" w:w="3400"/>
            <w:shd w:fill="F4F6F9"/>
          </w:tcPr>
          <w:p>
            <w:pPr>
              <w:pStyle w:val="TableText"/>
              <w:keepNext/>
            </w:pPr>
            <w:r>
              <w:t>Comparison</w:t>
            </w:r>
          </w:p>
        </w:tc>
        <w:tc>
          <w:tcPr>
            <w:tcW w:type="dxa" w:w="1180"/>
            <w:shd w:fill="F4F6F9"/>
          </w:tcPr>
          <w:p>
            <w:pPr>
              <w:pStyle w:val="TableText"/>
              <w:keepNext/>
            </w:pPr>
            <w:r>
              <w:t>Difference</w:t>
            </w:r>
          </w:p>
        </w:tc>
        <w:tc>
          <w:tcPr>
            <w:tcW w:type="dxa" w:w="2300"/>
            <w:shd w:fill="F4F6F9"/>
          </w:tcPr>
          <w:p>
            <w:pPr>
              <w:pStyle w:val="TableText"/>
              <w:keepNext/>
            </w:pPr>
            <w:r>
              <w:t>95% conditional interval</w:t>
            </w:r>
          </w:p>
        </w:tc>
      </w:tr>
      <w:tr>
        <w:trPr>
          <w:cantSplit/>
        </w:trPr>
        <w:tc>
          <w:tcPr>
            <w:tcW w:type="dxa" w:w="2480"/>
          </w:tcPr>
          <w:p>
            <w:pPr>
              <w:pStyle w:val="TableText"/>
              <w:keepNext w:val="0"/>
            </w:pPr>
            <w:r>
              <w:t>Recorded low bone mass</w:t>
            </w:r>
          </w:p>
        </w:tc>
        <w:tc>
          <w:tcPr>
            <w:tcW w:type="dxa" w:w="3400"/>
          </w:tcPr>
          <w:p>
            <w:pPr>
              <w:pStyle w:val="TableText"/>
              <w:keepNext w:val="0"/>
            </w:pPr>
            <w:r>
              <w:t>Boosting minus logistic</w:t>
            </w:r>
          </w:p>
        </w:tc>
        <w:tc>
          <w:tcPr>
            <w:tcW w:type="dxa" w:w="1180"/>
          </w:tcPr>
          <w:p>
            <w:pPr>
              <w:pStyle w:val="TableText"/>
              <w:keepNext w:val="0"/>
            </w:pPr>
            <w:r>
              <w:t>0.038</w:t>
            </w:r>
          </w:p>
        </w:tc>
        <w:tc>
          <w:tcPr>
            <w:tcW w:type="dxa" w:w="2300"/>
          </w:tcPr>
          <w:p>
            <w:pPr>
              <w:pStyle w:val="TableText"/>
              <w:keepNext w:val="0"/>
            </w:pPr>
            <w:r>
              <w:t>0.024–0.052</w:t>
            </w:r>
          </w:p>
        </w:tc>
      </w:tr>
      <w:tr>
        <w:trPr>
          <w:cantSplit/>
        </w:trPr>
        <w:tc>
          <w:tcPr>
            <w:tcW w:type="dxa" w:w="2480"/>
          </w:tcPr>
          <w:p>
            <w:pPr>
              <w:pStyle w:val="TableText"/>
              <w:keepNext w:val="0"/>
            </w:pPr>
            <w:r>
              <w:t>Recorded low bone mass</w:t>
            </w:r>
          </w:p>
        </w:tc>
        <w:tc>
          <w:tcPr>
            <w:tcW w:type="dxa" w:w="3400"/>
          </w:tcPr>
          <w:p>
            <w:pPr>
              <w:pStyle w:val="TableText"/>
              <w:keepNext w:val="0"/>
            </w:pPr>
            <w:r>
              <w:t>Chemistry added to vitals</w:t>
            </w:r>
          </w:p>
        </w:tc>
        <w:tc>
          <w:tcPr>
            <w:tcW w:type="dxa" w:w="1180"/>
          </w:tcPr>
          <w:p>
            <w:pPr>
              <w:pStyle w:val="TableText"/>
              <w:keepNext w:val="0"/>
            </w:pPr>
            <w:r>
              <w:t>0.073</w:t>
            </w:r>
          </w:p>
        </w:tc>
        <w:tc>
          <w:tcPr>
            <w:tcW w:type="dxa" w:w="2300"/>
          </w:tcPr>
          <w:p>
            <w:pPr>
              <w:pStyle w:val="TableText"/>
              <w:keepNext w:val="0"/>
            </w:pPr>
            <w:r>
              <w:t>0.057–0.089</w:t>
            </w:r>
          </w:p>
        </w:tc>
      </w:tr>
      <w:tr>
        <w:trPr>
          <w:cantSplit/>
        </w:trPr>
        <w:tc>
          <w:tcPr>
            <w:tcW w:type="dxa" w:w="2480"/>
          </w:tcPr>
          <w:p>
            <w:pPr>
              <w:pStyle w:val="TableText"/>
              <w:keepNext w:val="0"/>
            </w:pPr>
            <w:r>
              <w:t>Recorded low bone mass</w:t>
            </w:r>
          </w:p>
        </w:tc>
        <w:tc>
          <w:tcPr>
            <w:tcW w:type="dxa" w:w="3400"/>
          </w:tcPr>
          <w:p>
            <w:pPr>
              <w:pStyle w:val="TableText"/>
              <w:keepNext w:val="0"/>
            </w:pPr>
            <w:r>
              <w:t>Haematology added to chemistry</w:t>
            </w:r>
          </w:p>
        </w:tc>
        <w:tc>
          <w:tcPr>
            <w:tcW w:type="dxa" w:w="1180"/>
          </w:tcPr>
          <w:p>
            <w:pPr>
              <w:pStyle w:val="TableText"/>
              <w:keepNext w:val="0"/>
            </w:pPr>
            <w:r>
              <w:t>&lt;0.001</w:t>
            </w:r>
          </w:p>
        </w:tc>
        <w:tc>
          <w:tcPr>
            <w:tcW w:type="dxa" w:w="2300"/>
          </w:tcPr>
          <w:p>
            <w:pPr>
              <w:pStyle w:val="TableText"/>
              <w:keepNext w:val="0"/>
            </w:pPr>
            <w:r>
              <w:t>-0.007–0.008</w:t>
            </w:r>
          </w:p>
        </w:tc>
      </w:tr>
      <w:tr>
        <w:trPr>
          <w:cantSplit/>
        </w:trPr>
        <w:tc>
          <w:tcPr>
            <w:tcW w:type="dxa" w:w="2480"/>
          </w:tcPr>
          <w:p>
            <w:pPr>
              <w:pStyle w:val="TableText"/>
              <w:keepNext w:val="0"/>
            </w:pPr>
            <w:r>
              <w:t>Prostate echotexture, heterogeneous</w:t>
            </w:r>
          </w:p>
        </w:tc>
        <w:tc>
          <w:tcPr>
            <w:tcW w:type="dxa" w:w="3400"/>
          </w:tcPr>
          <w:p>
            <w:pPr>
              <w:pStyle w:val="TableText"/>
              <w:keepNext w:val="0"/>
            </w:pPr>
            <w:r>
              <w:t>Boosting minus logistic</w:t>
            </w:r>
          </w:p>
        </w:tc>
        <w:tc>
          <w:tcPr>
            <w:tcW w:type="dxa" w:w="1180"/>
          </w:tcPr>
          <w:p>
            <w:pPr>
              <w:pStyle w:val="TableText"/>
              <w:keepNext w:val="0"/>
            </w:pPr>
            <w:r>
              <w:t>-0.001</w:t>
            </w:r>
          </w:p>
        </w:tc>
        <w:tc>
          <w:tcPr>
            <w:tcW w:type="dxa" w:w="2300"/>
          </w:tcPr>
          <w:p>
            <w:pPr>
              <w:pStyle w:val="TableText"/>
              <w:keepNext w:val="0"/>
            </w:pPr>
            <w:r>
              <w:t>-0.012–0.011</w:t>
            </w:r>
          </w:p>
        </w:tc>
      </w:tr>
      <w:tr>
        <w:trPr>
          <w:cantSplit/>
        </w:trPr>
        <w:tc>
          <w:tcPr>
            <w:tcW w:type="dxa" w:w="2480"/>
          </w:tcPr>
          <w:p>
            <w:pPr>
              <w:pStyle w:val="TableText"/>
              <w:keepNext w:val="0"/>
            </w:pPr>
            <w:r>
              <w:t>Prostate echotexture, heterogeneous</w:t>
            </w:r>
          </w:p>
        </w:tc>
        <w:tc>
          <w:tcPr>
            <w:tcW w:type="dxa" w:w="3400"/>
          </w:tcPr>
          <w:p>
            <w:pPr>
              <w:pStyle w:val="TableText"/>
              <w:keepNext w:val="0"/>
            </w:pPr>
            <w:r>
              <w:t>Chemistry added to vitals</w:t>
            </w:r>
          </w:p>
        </w:tc>
        <w:tc>
          <w:tcPr>
            <w:tcW w:type="dxa" w:w="1180"/>
          </w:tcPr>
          <w:p>
            <w:pPr>
              <w:pStyle w:val="TableText"/>
              <w:keepNext w:val="0"/>
            </w:pPr>
            <w:r>
              <w:t>0.072</w:t>
            </w:r>
          </w:p>
        </w:tc>
        <w:tc>
          <w:tcPr>
            <w:tcW w:type="dxa" w:w="2300"/>
          </w:tcPr>
          <w:p>
            <w:pPr>
              <w:pStyle w:val="TableText"/>
              <w:keepNext w:val="0"/>
            </w:pPr>
            <w:r>
              <w:t>0.056–0.089</w:t>
            </w:r>
          </w:p>
        </w:tc>
      </w:tr>
      <w:tr>
        <w:trPr>
          <w:cantSplit/>
        </w:trPr>
        <w:tc>
          <w:tcPr>
            <w:tcW w:type="dxa" w:w="2480"/>
          </w:tcPr>
          <w:p>
            <w:pPr>
              <w:pStyle w:val="TableText"/>
              <w:keepNext/>
            </w:pPr>
            <w:r>
              <w:t>Prostate echotexture, heterogeneous</w:t>
            </w:r>
          </w:p>
        </w:tc>
        <w:tc>
          <w:tcPr>
            <w:tcW w:type="dxa" w:w="3400"/>
          </w:tcPr>
          <w:p>
            <w:pPr>
              <w:pStyle w:val="TableText"/>
              <w:keepNext/>
            </w:pPr>
            <w:r>
              <w:t>Haematology added to chemistry</w:t>
            </w:r>
          </w:p>
        </w:tc>
        <w:tc>
          <w:tcPr>
            <w:tcW w:type="dxa" w:w="1180"/>
          </w:tcPr>
          <w:p>
            <w:pPr>
              <w:pStyle w:val="TableText"/>
              <w:keepNext/>
            </w:pPr>
            <w:r>
              <w:t>-0.002</w:t>
            </w:r>
          </w:p>
        </w:tc>
        <w:tc>
          <w:tcPr>
            <w:tcW w:type="dxa" w:w="2300"/>
          </w:tcPr>
          <w:p>
            <w:pPr>
              <w:pStyle w:val="TableText"/>
              <w:keepNext/>
            </w:pPr>
            <w:r>
              <w:t>-0.011–0.008</w:t>
            </w:r>
          </w:p>
        </w:tc>
      </w:tr>
    </w:tbl>
    <w:p>
      <w:pPr>
        <w:pStyle w:val="TableNote"/>
        <w:keepNext w:val="0"/>
        <w:pageBreakBefore w:val="0"/>
        <w:spacing w:after="180"/>
      </w:pPr>
      <w:r>
        <w:t>Post hoc analysis with 2,000 reconstructed-identity bootstrap replicates and identical weights for each pair. Positive differences favour the added block or boosting. Chemistry comparisons use native boosting with demographics and vital measurements in both arms; haematology comparisons add that block to demographics, vitals, and chemistry. The full-panel boosting–logistic comparison uses 50 predictors. Intervals condition on fitted predictions and evaluated groups; they are not multiplicity-adjusted or equivalence tests.</w:t>
      </w:r>
    </w:p>
    <w:p>
      <w:pPr>
        <w:pStyle w:val="Heading2"/>
        <w:pageBreakBefore w:val="0"/>
        <w:spacing w:line="480" w:lineRule="auto"/>
      </w:pPr>
      <w:r>
        <w:t>Pooled, within-group, and temporal performance</w:t>
      </w:r>
    </w:p>
    <w:p>
      <w:pPr>
        <w:pageBreakBefore w:val="0"/>
        <w:spacing w:line="480" w:lineRule="auto"/>
      </w:pPr>
      <w:r>
        <w:t>Pooling predictions produced higher AUROC than the within-group mean for several endpoints. The largest of the highlighted differences occurred for nephrolithiasis: pooled AUROC was 0.770 (95% bootstrap interval, 0.759–0.780), compared with a within-group mean of 0.649. The corresponding differences were 0.041 for prostate echotexture and 0.014 for low bone mass (Figure 1).</w:t>
      </w:r>
    </w:p>
    <w:p>
      <w:pPr>
        <w:pStyle w:val="Heading2"/>
        <w:keepNext/>
        <w:pageBreakBefore w:val="0"/>
        <w:spacing w:before="200" w:after="100" w:line="480" w:lineRule="auto"/>
      </w:pPr>
      <w:r>
        <w:t>Figure 1. Discrimination across screening groups and time</w:t>
      </w:r>
    </w:p>
    <w:p>
      <w:pPr>
        <w:keepNext/>
        <w:pageBreakBefore w:val="0"/>
      </w:pPr>
      <w:r>
        <w:drawing>
          <wp:inline xmlns:a="http://schemas.openxmlformats.org/drawingml/2006/main" xmlns:pic="http://schemas.openxmlformats.org/drawingml/2006/picture">
            <wp:extent cx="5943600" cy="6080760"/>
            <wp:docPr id="1" name="Picture 1" descr="Figure 1: Discrimination across screening groups and time"/>
            <wp:cNvGraphicFramePr>
              <a:graphicFrameLocks noChangeAspect="1"/>
            </wp:cNvGraphicFramePr>
            <a:graphic>
              <a:graphicData uri="http://schemas.openxmlformats.org/drawingml/2006/picture">
                <pic:pic>
                  <pic:nvPicPr>
                    <pic:cNvPr id="0" name="paper_figure.png"/>
                    <pic:cNvPicPr/>
                  </pic:nvPicPr>
                  <pic:blipFill>
                    <a:blip r:embed="rId11"/>
                    <a:stretch>
                      <a:fillRect/>
                    </a:stretch>
                  </pic:blipFill>
                  <pic:spPr>
                    <a:xfrm>
                      <a:off x="0" y="0"/>
                      <a:ext cx="5943600" cy="6080760"/>
                    </a:xfrm>
                    <a:prstGeom prst="rect"/>
                  </pic:spPr>
                </pic:pic>
              </a:graphicData>
            </a:graphic>
          </wp:inline>
        </w:drawing>
      </w:r>
    </w:p>
    <w:p>
      <w:pPr>
        <w:pStyle w:val="TableNote"/>
        <w:keepNext w:val="0"/>
        <w:keepLines/>
        <w:pageBreakBefore w:val="0"/>
        <w:spacing w:after="180"/>
      </w:pPr>
      <w:r>
        <w:t>Panel A contrasts the unweighted mean within-group AUROC with pooled AUROC across all 11 evaluable endpoints. Error bars are 95% percentile intervals: 2,000 identity-cluster replicates for the within-group mean and the original 300 replicates for pooled estimates. Panel B compares person-grouped and temporal pooled AUROCs for four highlighted endpoints, using the original 300-replicate intervals. All intervals condition on saved predictions; none includes model refitting. Evaluation populations differ between designs. Full 50-predictor native boosting is used throughout.</w:t>
      </w:r>
    </w:p>
    <w:p>
      <w:pPr>
        <w:pageBreakBefore w:val="0"/>
        <w:spacing w:line="480" w:lineRule="auto"/>
      </w:pPr>
      <w:r>
        <w:t>Performance was lower in temporal evaluation than in person-grouped evaluation. Low-bone-mass AUROC declined from 0.759 (95% interval, 0.748–0.770) to 0.628 (0.610–0.646), and prostate-echotexture AUROC declined from 0.843 (0.835–0.851) to 0.711 (0.697–0.730). Nephrolithiasis declined from 0.816 to 0.562 (Table 8). The temporal samples also had different label prevalence: 21.0% for low bone mass and 27.3% for prostate echotexture. These comparisons involve different training and test populations.</w:t>
      </w:r>
    </w:p>
    <w:p>
      <w:pPr>
        <w:pStyle w:val="Heading2"/>
        <w:keepNext/>
        <w:pageBreakBefore w:val="0"/>
        <w:spacing w:before="200" w:after="100" w:line="480" w:lineRule="auto"/>
      </w:pPr>
      <w:r>
        <w:t>Table 8. Pooled discrimination and calibration by design</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2850"/>
        <w:gridCol w:w="1200"/>
        <w:gridCol w:w="1050"/>
        <w:gridCol w:w="2600"/>
        <w:gridCol w:w="1660"/>
      </w:tblGrid>
      <w:tr>
        <w:trPr>
          <w:cantSplit/>
          <w:tblHeader/>
        </w:trPr>
        <w:tc>
          <w:tcPr>
            <w:tcW w:type="dxa" w:w="2850"/>
            <w:shd w:fill="F4F6F9"/>
          </w:tcPr>
          <w:p>
            <w:pPr>
              <w:pStyle w:val="TableText"/>
              <w:keepNext/>
            </w:pPr>
            <w:r>
              <w:t>Outcome</w:t>
            </w:r>
          </w:p>
        </w:tc>
        <w:tc>
          <w:tcPr>
            <w:tcW w:type="dxa" w:w="1200"/>
            <w:shd w:fill="F4F6F9"/>
          </w:tcPr>
          <w:p>
            <w:pPr>
              <w:pStyle w:val="TableText"/>
              <w:keepNext/>
            </w:pPr>
            <w:r>
              <w:t>Design</w:t>
            </w:r>
          </w:p>
        </w:tc>
        <w:tc>
          <w:tcPr>
            <w:tcW w:type="dxa" w:w="1050"/>
            <w:shd w:fill="F4F6F9"/>
          </w:tcPr>
          <w:p>
            <w:pPr>
              <w:pStyle w:val="TableText"/>
              <w:keepNext/>
            </w:pPr>
            <w:r>
              <w:t>Visits</w:t>
            </w:r>
          </w:p>
        </w:tc>
        <w:tc>
          <w:tcPr>
            <w:tcW w:type="dxa" w:w="2600"/>
            <w:shd w:fill="F4F6F9"/>
          </w:tcPr>
          <w:p>
            <w:pPr>
              <w:pStyle w:val="TableText"/>
              <w:keepNext/>
            </w:pPr>
            <w:r>
              <w:t>AUROC (95% interval)</w:t>
            </w:r>
          </w:p>
        </w:tc>
        <w:tc>
          <w:tcPr>
            <w:tcW w:type="dxa" w:w="1660"/>
            <w:shd w:fill="F4F6F9"/>
          </w:tcPr>
          <w:p>
            <w:pPr>
              <w:pStyle w:val="TableText"/>
              <w:keepNext/>
            </w:pPr>
            <w:r>
              <w:t>Calibration slope</w:t>
            </w:r>
          </w:p>
        </w:tc>
      </w:tr>
      <w:tr>
        <w:trPr>
          <w:cantSplit/>
        </w:trPr>
        <w:tc>
          <w:tcPr>
            <w:tcW w:type="dxa" w:w="2850"/>
          </w:tcPr>
          <w:p>
            <w:pPr>
              <w:pStyle w:val="TableText"/>
              <w:keepNext w:val="0"/>
            </w:pPr>
            <w:r>
              <w:t>Recorded low bone mass</w:t>
            </w:r>
          </w:p>
        </w:tc>
        <w:tc>
          <w:tcPr>
            <w:tcW w:type="dxa" w:w="1200"/>
          </w:tcPr>
          <w:p>
            <w:pPr>
              <w:pStyle w:val="TableText"/>
              <w:keepNext w:val="0"/>
            </w:pPr>
            <w:r>
              <w:t>person</w:t>
            </w:r>
          </w:p>
        </w:tc>
        <w:tc>
          <w:tcPr>
            <w:tcW w:type="dxa" w:w="1050"/>
          </w:tcPr>
          <w:p>
            <w:pPr>
              <w:pStyle w:val="TableText"/>
              <w:keepNext w:val="0"/>
            </w:pPr>
            <w:r>
              <w:t>20,238</w:t>
            </w:r>
          </w:p>
        </w:tc>
        <w:tc>
          <w:tcPr>
            <w:tcW w:type="dxa" w:w="2600"/>
          </w:tcPr>
          <w:p>
            <w:pPr>
              <w:pStyle w:val="TableText"/>
              <w:keepNext w:val="0"/>
            </w:pPr>
            <w:r>
              <w:t>0.759 (0.748–0.770)</w:t>
            </w:r>
          </w:p>
        </w:tc>
        <w:tc>
          <w:tcPr>
            <w:tcW w:type="dxa" w:w="1660"/>
          </w:tcPr>
          <w:p>
            <w:pPr>
              <w:pStyle w:val="TableText"/>
              <w:keepNext w:val="0"/>
            </w:pPr>
            <w:r>
              <w:t>0.898</w:t>
            </w:r>
          </w:p>
        </w:tc>
      </w:tr>
      <w:tr>
        <w:trPr>
          <w:cantSplit/>
        </w:trPr>
        <w:tc>
          <w:tcPr>
            <w:tcW w:type="dxa" w:w="2850"/>
          </w:tcPr>
          <w:p>
            <w:pPr>
              <w:pStyle w:val="TableText"/>
              <w:keepNext w:val="0"/>
            </w:pPr>
            <w:r>
              <w:t>Recorded low bone mass</w:t>
            </w:r>
          </w:p>
        </w:tc>
        <w:tc>
          <w:tcPr>
            <w:tcW w:type="dxa" w:w="1200"/>
          </w:tcPr>
          <w:p>
            <w:pPr>
              <w:pStyle w:val="TableText"/>
              <w:keepNext w:val="0"/>
            </w:pPr>
            <w:r>
              <w:t>protocol</w:t>
            </w:r>
          </w:p>
        </w:tc>
        <w:tc>
          <w:tcPr>
            <w:tcW w:type="dxa" w:w="1050"/>
          </w:tcPr>
          <w:p>
            <w:pPr>
              <w:pStyle w:val="TableText"/>
              <w:keepNext w:val="0"/>
            </w:pPr>
            <w:r>
              <w:t>15,404</w:t>
            </w:r>
          </w:p>
        </w:tc>
        <w:tc>
          <w:tcPr>
            <w:tcW w:type="dxa" w:w="2600"/>
          </w:tcPr>
          <w:p>
            <w:pPr>
              <w:pStyle w:val="TableText"/>
              <w:keepNext w:val="0"/>
            </w:pPr>
            <w:r>
              <w:t>0.747 (0.735–0.757)</w:t>
            </w:r>
          </w:p>
        </w:tc>
        <w:tc>
          <w:tcPr>
            <w:tcW w:type="dxa" w:w="1660"/>
          </w:tcPr>
          <w:p>
            <w:pPr>
              <w:pStyle w:val="TableText"/>
              <w:keepNext w:val="0"/>
            </w:pPr>
            <w:r>
              <w:t>0.828</w:t>
            </w:r>
          </w:p>
        </w:tc>
      </w:tr>
      <w:tr>
        <w:trPr>
          <w:cantSplit/>
        </w:trPr>
        <w:tc>
          <w:tcPr>
            <w:tcW w:type="dxa" w:w="2850"/>
          </w:tcPr>
          <w:p>
            <w:pPr>
              <w:pStyle w:val="TableText"/>
              <w:keepNext w:val="0"/>
            </w:pPr>
            <w:r>
              <w:t>Recorded low bone mass</w:t>
            </w:r>
          </w:p>
        </w:tc>
        <w:tc>
          <w:tcPr>
            <w:tcW w:type="dxa" w:w="1200"/>
          </w:tcPr>
          <w:p>
            <w:pPr>
              <w:pStyle w:val="TableText"/>
              <w:keepNext w:val="0"/>
            </w:pPr>
            <w:r>
              <w:t>temporal</w:t>
            </w:r>
          </w:p>
        </w:tc>
        <w:tc>
          <w:tcPr>
            <w:tcW w:type="dxa" w:w="1050"/>
          </w:tcPr>
          <w:p>
            <w:pPr>
              <w:pStyle w:val="TableText"/>
              <w:keepNext w:val="0"/>
            </w:pPr>
            <w:r>
              <w:t>5,670</w:t>
            </w:r>
          </w:p>
        </w:tc>
        <w:tc>
          <w:tcPr>
            <w:tcW w:type="dxa" w:w="2600"/>
          </w:tcPr>
          <w:p>
            <w:pPr>
              <w:pStyle w:val="TableText"/>
              <w:keepNext w:val="0"/>
            </w:pPr>
            <w:r>
              <w:t>0.628 (0.610–0.646)</w:t>
            </w:r>
          </w:p>
        </w:tc>
        <w:tc>
          <w:tcPr>
            <w:tcW w:type="dxa" w:w="1660"/>
          </w:tcPr>
          <w:p>
            <w:pPr>
              <w:pStyle w:val="TableText"/>
              <w:keepNext w:val="0"/>
            </w:pPr>
            <w:r>
              <w:t>0.422</w:t>
            </w:r>
          </w:p>
        </w:tc>
      </w:tr>
      <w:tr>
        <w:trPr>
          <w:cantSplit/>
        </w:trPr>
        <w:tc>
          <w:tcPr>
            <w:tcW w:type="dxa" w:w="2850"/>
          </w:tcPr>
          <w:p>
            <w:pPr>
              <w:pStyle w:val="TableText"/>
              <w:keepNext w:val="0"/>
            </w:pPr>
            <w:r>
              <w:t>Prostate echotexture, heterogeneous</w:t>
            </w:r>
          </w:p>
        </w:tc>
        <w:tc>
          <w:tcPr>
            <w:tcW w:type="dxa" w:w="1200"/>
          </w:tcPr>
          <w:p>
            <w:pPr>
              <w:pStyle w:val="TableText"/>
              <w:keepNext w:val="0"/>
            </w:pPr>
            <w:r>
              <w:t>person</w:t>
            </w:r>
          </w:p>
        </w:tc>
        <w:tc>
          <w:tcPr>
            <w:tcW w:type="dxa" w:w="1050"/>
          </w:tcPr>
          <w:p>
            <w:pPr>
              <w:pStyle w:val="TableText"/>
              <w:keepNext w:val="0"/>
            </w:pPr>
            <w:r>
              <w:t>13,921</w:t>
            </w:r>
          </w:p>
        </w:tc>
        <w:tc>
          <w:tcPr>
            <w:tcW w:type="dxa" w:w="2600"/>
          </w:tcPr>
          <w:p>
            <w:pPr>
              <w:pStyle w:val="TableText"/>
              <w:keepNext w:val="0"/>
            </w:pPr>
            <w:r>
              <w:t>0.843 (0.835–0.851)</w:t>
            </w:r>
          </w:p>
        </w:tc>
        <w:tc>
          <w:tcPr>
            <w:tcW w:type="dxa" w:w="1660"/>
          </w:tcPr>
          <w:p>
            <w:pPr>
              <w:pStyle w:val="TableText"/>
              <w:keepNext w:val="0"/>
            </w:pPr>
            <w:r>
              <w:t>0.954</w:t>
            </w:r>
          </w:p>
        </w:tc>
      </w:tr>
      <w:tr>
        <w:trPr>
          <w:cantSplit/>
        </w:trPr>
        <w:tc>
          <w:tcPr>
            <w:tcW w:type="dxa" w:w="2850"/>
          </w:tcPr>
          <w:p>
            <w:pPr>
              <w:pStyle w:val="TableText"/>
              <w:keepNext w:val="0"/>
            </w:pPr>
            <w:r>
              <w:t>Prostate echotexture, heterogeneous</w:t>
            </w:r>
          </w:p>
        </w:tc>
        <w:tc>
          <w:tcPr>
            <w:tcW w:type="dxa" w:w="1200"/>
          </w:tcPr>
          <w:p>
            <w:pPr>
              <w:pStyle w:val="TableText"/>
              <w:keepNext w:val="0"/>
            </w:pPr>
            <w:r>
              <w:t>protocol</w:t>
            </w:r>
          </w:p>
        </w:tc>
        <w:tc>
          <w:tcPr>
            <w:tcW w:type="dxa" w:w="1050"/>
          </w:tcPr>
          <w:p>
            <w:pPr>
              <w:pStyle w:val="TableText"/>
              <w:keepNext w:val="0"/>
            </w:pPr>
            <w:r>
              <w:t>8,203</w:t>
            </w:r>
          </w:p>
        </w:tc>
        <w:tc>
          <w:tcPr>
            <w:tcW w:type="dxa" w:w="2600"/>
          </w:tcPr>
          <w:p>
            <w:pPr>
              <w:pStyle w:val="TableText"/>
              <w:keepNext w:val="0"/>
            </w:pPr>
            <w:r>
              <w:t>0.815 (0.805–0.826)</w:t>
            </w:r>
          </w:p>
        </w:tc>
        <w:tc>
          <w:tcPr>
            <w:tcW w:type="dxa" w:w="1660"/>
          </w:tcPr>
          <w:p>
            <w:pPr>
              <w:pStyle w:val="TableText"/>
              <w:keepNext w:val="0"/>
            </w:pPr>
            <w:r>
              <w:t>0.837</w:t>
            </w:r>
          </w:p>
        </w:tc>
      </w:tr>
      <w:tr>
        <w:trPr>
          <w:cantSplit/>
        </w:trPr>
        <w:tc>
          <w:tcPr>
            <w:tcW w:type="dxa" w:w="2850"/>
          </w:tcPr>
          <w:p>
            <w:pPr>
              <w:pStyle w:val="TableText"/>
              <w:keepNext w:val="0"/>
            </w:pPr>
            <w:r>
              <w:t>Prostate echotexture, heterogeneous</w:t>
            </w:r>
          </w:p>
        </w:tc>
        <w:tc>
          <w:tcPr>
            <w:tcW w:type="dxa" w:w="1200"/>
          </w:tcPr>
          <w:p>
            <w:pPr>
              <w:pStyle w:val="TableText"/>
              <w:keepNext w:val="0"/>
            </w:pPr>
            <w:r>
              <w:t>temporal</w:t>
            </w:r>
          </w:p>
        </w:tc>
        <w:tc>
          <w:tcPr>
            <w:tcW w:type="dxa" w:w="1050"/>
          </w:tcPr>
          <w:p>
            <w:pPr>
              <w:pStyle w:val="TableText"/>
              <w:keepNext w:val="0"/>
            </w:pPr>
            <w:r>
              <w:t>4,228</w:t>
            </w:r>
          </w:p>
        </w:tc>
        <w:tc>
          <w:tcPr>
            <w:tcW w:type="dxa" w:w="2600"/>
          </w:tcPr>
          <w:p>
            <w:pPr>
              <w:pStyle w:val="TableText"/>
              <w:keepNext w:val="0"/>
            </w:pPr>
            <w:r>
              <w:t>0.711 (0.697–0.730)</w:t>
            </w:r>
          </w:p>
        </w:tc>
        <w:tc>
          <w:tcPr>
            <w:tcW w:type="dxa" w:w="1660"/>
          </w:tcPr>
          <w:p>
            <w:pPr>
              <w:pStyle w:val="TableText"/>
              <w:keepNext w:val="0"/>
            </w:pPr>
            <w:r>
              <w:t>0.516</w:t>
            </w:r>
          </w:p>
        </w:tc>
      </w:tr>
      <w:tr>
        <w:trPr>
          <w:cantSplit/>
        </w:trPr>
        <w:tc>
          <w:tcPr>
            <w:tcW w:type="dxa" w:w="2850"/>
          </w:tcPr>
          <w:p>
            <w:pPr>
              <w:pStyle w:val="TableText"/>
              <w:keepNext w:val="0"/>
            </w:pPr>
            <w:r>
              <w:t>Nephrolithiasis</w:t>
            </w:r>
          </w:p>
        </w:tc>
        <w:tc>
          <w:tcPr>
            <w:tcW w:type="dxa" w:w="1200"/>
          </w:tcPr>
          <w:p>
            <w:pPr>
              <w:pStyle w:val="TableText"/>
              <w:keepNext w:val="0"/>
            </w:pPr>
            <w:r>
              <w:t>person</w:t>
            </w:r>
          </w:p>
        </w:tc>
        <w:tc>
          <w:tcPr>
            <w:tcW w:type="dxa" w:w="1050"/>
          </w:tcPr>
          <w:p>
            <w:pPr>
              <w:pStyle w:val="TableText"/>
              <w:keepNext w:val="0"/>
            </w:pPr>
            <w:r>
              <w:t>31,772</w:t>
            </w:r>
          </w:p>
        </w:tc>
        <w:tc>
          <w:tcPr>
            <w:tcW w:type="dxa" w:w="2600"/>
          </w:tcPr>
          <w:p>
            <w:pPr>
              <w:pStyle w:val="TableText"/>
              <w:keepNext w:val="0"/>
            </w:pPr>
            <w:r>
              <w:t>0.816 (0.808–0.824)</w:t>
            </w:r>
          </w:p>
        </w:tc>
        <w:tc>
          <w:tcPr>
            <w:tcW w:type="dxa" w:w="1660"/>
          </w:tcPr>
          <w:p>
            <w:pPr>
              <w:pStyle w:val="TableText"/>
              <w:keepNext w:val="0"/>
            </w:pPr>
            <w:r>
              <w:t>0.987</w:t>
            </w:r>
          </w:p>
        </w:tc>
      </w:tr>
      <w:tr>
        <w:trPr>
          <w:cantSplit/>
        </w:trPr>
        <w:tc>
          <w:tcPr>
            <w:tcW w:type="dxa" w:w="2850"/>
          </w:tcPr>
          <w:p>
            <w:pPr>
              <w:pStyle w:val="TableText"/>
              <w:keepNext w:val="0"/>
            </w:pPr>
            <w:r>
              <w:t>Nephrolithiasis</w:t>
            </w:r>
          </w:p>
        </w:tc>
        <w:tc>
          <w:tcPr>
            <w:tcW w:type="dxa" w:w="1200"/>
          </w:tcPr>
          <w:p>
            <w:pPr>
              <w:pStyle w:val="TableText"/>
              <w:keepNext w:val="0"/>
            </w:pPr>
            <w:r>
              <w:t>protocol</w:t>
            </w:r>
          </w:p>
        </w:tc>
        <w:tc>
          <w:tcPr>
            <w:tcW w:type="dxa" w:w="1050"/>
          </w:tcPr>
          <w:p>
            <w:pPr>
              <w:pStyle w:val="TableText"/>
              <w:keepNext w:val="0"/>
            </w:pPr>
            <w:r>
              <w:t>23,874</w:t>
            </w:r>
          </w:p>
        </w:tc>
        <w:tc>
          <w:tcPr>
            <w:tcW w:type="dxa" w:w="2600"/>
          </w:tcPr>
          <w:p>
            <w:pPr>
              <w:pStyle w:val="TableText"/>
              <w:keepNext w:val="0"/>
            </w:pPr>
            <w:r>
              <w:t>0.770 (0.759–0.780)</w:t>
            </w:r>
          </w:p>
        </w:tc>
        <w:tc>
          <w:tcPr>
            <w:tcW w:type="dxa" w:w="1660"/>
          </w:tcPr>
          <w:p>
            <w:pPr>
              <w:pStyle w:val="TableText"/>
              <w:keepNext w:val="0"/>
            </w:pPr>
            <w:r>
              <w:t>0.761</w:t>
            </w:r>
          </w:p>
        </w:tc>
      </w:tr>
      <w:tr>
        <w:trPr>
          <w:cantSplit/>
        </w:trPr>
        <w:tc>
          <w:tcPr>
            <w:tcW w:type="dxa" w:w="2850"/>
          </w:tcPr>
          <w:p>
            <w:pPr>
              <w:pStyle w:val="TableText"/>
              <w:keepNext w:val="0"/>
            </w:pPr>
            <w:r>
              <w:t>Nephrolithiasis</w:t>
            </w:r>
          </w:p>
        </w:tc>
        <w:tc>
          <w:tcPr>
            <w:tcW w:type="dxa" w:w="1200"/>
          </w:tcPr>
          <w:p>
            <w:pPr>
              <w:pStyle w:val="TableText"/>
              <w:keepNext w:val="0"/>
            </w:pPr>
            <w:r>
              <w:t>temporal</w:t>
            </w:r>
          </w:p>
        </w:tc>
        <w:tc>
          <w:tcPr>
            <w:tcW w:type="dxa" w:w="1050"/>
          </w:tcPr>
          <w:p>
            <w:pPr>
              <w:pStyle w:val="TableText"/>
              <w:keepNext w:val="0"/>
            </w:pPr>
            <w:r>
              <w:t>12,468</w:t>
            </w:r>
          </w:p>
        </w:tc>
        <w:tc>
          <w:tcPr>
            <w:tcW w:type="dxa" w:w="2600"/>
          </w:tcPr>
          <w:p>
            <w:pPr>
              <w:pStyle w:val="TableText"/>
              <w:keepNext w:val="0"/>
            </w:pPr>
            <w:r>
              <w:t>0.562 (0.527–0.606)</w:t>
            </w:r>
          </w:p>
        </w:tc>
        <w:tc>
          <w:tcPr>
            <w:tcW w:type="dxa" w:w="1660"/>
          </w:tcPr>
          <w:p>
            <w:pPr>
              <w:pStyle w:val="TableText"/>
              <w:keepNext w:val="0"/>
            </w:pPr>
            <w:r>
              <w:t>0.105</w:t>
            </w:r>
          </w:p>
        </w:tc>
      </w:tr>
      <w:tr>
        <w:trPr>
          <w:cantSplit/>
        </w:trPr>
        <w:tc>
          <w:tcPr>
            <w:tcW w:type="dxa" w:w="2850"/>
          </w:tcPr>
          <w:p>
            <w:pPr>
              <w:pStyle w:val="TableText"/>
              <w:keepNext w:val="0"/>
            </w:pPr>
            <w:r>
              <w:t>Gallstones</w:t>
            </w:r>
          </w:p>
        </w:tc>
        <w:tc>
          <w:tcPr>
            <w:tcW w:type="dxa" w:w="1200"/>
          </w:tcPr>
          <w:p>
            <w:pPr>
              <w:pStyle w:val="TableText"/>
              <w:keepNext w:val="0"/>
            </w:pPr>
            <w:r>
              <w:t>person</w:t>
            </w:r>
          </w:p>
        </w:tc>
        <w:tc>
          <w:tcPr>
            <w:tcW w:type="dxa" w:w="1050"/>
          </w:tcPr>
          <w:p>
            <w:pPr>
              <w:pStyle w:val="TableText"/>
              <w:keepNext w:val="0"/>
            </w:pPr>
            <w:r>
              <w:t>31,832</w:t>
            </w:r>
          </w:p>
        </w:tc>
        <w:tc>
          <w:tcPr>
            <w:tcW w:type="dxa" w:w="2600"/>
          </w:tcPr>
          <w:p>
            <w:pPr>
              <w:pStyle w:val="TableText"/>
              <w:keepNext w:val="0"/>
            </w:pPr>
            <w:r>
              <w:t>0.637 (0.615–0.659)</w:t>
            </w:r>
          </w:p>
        </w:tc>
        <w:tc>
          <w:tcPr>
            <w:tcW w:type="dxa" w:w="1660"/>
          </w:tcPr>
          <w:p>
            <w:pPr>
              <w:pStyle w:val="TableText"/>
              <w:keepNext w:val="0"/>
            </w:pPr>
            <w:r>
              <w:t>0.638</w:t>
            </w:r>
          </w:p>
        </w:tc>
      </w:tr>
      <w:tr>
        <w:trPr>
          <w:cantSplit/>
        </w:trPr>
        <w:tc>
          <w:tcPr>
            <w:tcW w:type="dxa" w:w="2850"/>
          </w:tcPr>
          <w:p>
            <w:pPr>
              <w:pStyle w:val="TableText"/>
              <w:keepNext w:val="0"/>
            </w:pPr>
            <w:r>
              <w:t>Gallstones</w:t>
            </w:r>
          </w:p>
        </w:tc>
        <w:tc>
          <w:tcPr>
            <w:tcW w:type="dxa" w:w="1200"/>
          </w:tcPr>
          <w:p>
            <w:pPr>
              <w:pStyle w:val="TableText"/>
              <w:keepNext w:val="0"/>
            </w:pPr>
            <w:r>
              <w:t>protocol</w:t>
            </w:r>
          </w:p>
        </w:tc>
        <w:tc>
          <w:tcPr>
            <w:tcW w:type="dxa" w:w="1050"/>
          </w:tcPr>
          <w:p>
            <w:pPr>
              <w:pStyle w:val="TableText"/>
              <w:keepNext w:val="0"/>
            </w:pPr>
            <w:r>
              <w:t>23,335</w:t>
            </w:r>
          </w:p>
        </w:tc>
        <w:tc>
          <w:tcPr>
            <w:tcW w:type="dxa" w:w="2600"/>
          </w:tcPr>
          <w:p>
            <w:pPr>
              <w:pStyle w:val="TableText"/>
              <w:keepNext w:val="0"/>
            </w:pPr>
            <w:r>
              <w:t>0.659 (0.637–0.687)</w:t>
            </w:r>
          </w:p>
        </w:tc>
        <w:tc>
          <w:tcPr>
            <w:tcW w:type="dxa" w:w="1660"/>
          </w:tcPr>
          <w:p>
            <w:pPr>
              <w:pStyle w:val="TableText"/>
              <w:keepNext w:val="0"/>
            </w:pPr>
            <w:r>
              <w:t>0.743</w:t>
            </w:r>
          </w:p>
        </w:tc>
      </w:tr>
      <w:tr>
        <w:trPr>
          <w:cantSplit/>
        </w:trPr>
        <w:tc>
          <w:tcPr>
            <w:tcW w:type="dxa" w:w="2850"/>
          </w:tcPr>
          <w:p>
            <w:pPr>
              <w:pStyle w:val="TableText"/>
              <w:keepNext/>
            </w:pPr>
            <w:r>
              <w:t>Gallstones</w:t>
            </w:r>
          </w:p>
        </w:tc>
        <w:tc>
          <w:tcPr>
            <w:tcW w:type="dxa" w:w="1200"/>
          </w:tcPr>
          <w:p>
            <w:pPr>
              <w:pStyle w:val="TableText"/>
              <w:keepNext/>
            </w:pPr>
            <w:r>
              <w:t>temporal</w:t>
            </w:r>
          </w:p>
        </w:tc>
        <w:tc>
          <w:tcPr>
            <w:tcW w:type="dxa" w:w="1050"/>
          </w:tcPr>
          <w:p>
            <w:pPr>
              <w:pStyle w:val="TableText"/>
              <w:keepNext/>
            </w:pPr>
            <w:r>
              <w:t>12,200</w:t>
            </w:r>
          </w:p>
        </w:tc>
        <w:tc>
          <w:tcPr>
            <w:tcW w:type="dxa" w:w="2600"/>
          </w:tcPr>
          <w:p>
            <w:pPr>
              <w:pStyle w:val="TableText"/>
              <w:keepNext/>
            </w:pPr>
            <w:r>
              <w:t>0.599 (0.574–0.628)</w:t>
            </w:r>
          </w:p>
        </w:tc>
        <w:tc>
          <w:tcPr>
            <w:tcW w:type="dxa" w:w="1660"/>
          </w:tcPr>
          <w:p>
            <w:pPr>
              <w:pStyle w:val="TableText"/>
              <w:keepNext/>
            </w:pPr>
            <w:r>
              <w:t>0.406</w:t>
            </w:r>
          </w:p>
        </w:tc>
      </w:tr>
    </w:tbl>
    <w:p>
      <w:pPr>
        <w:pStyle w:val="TableNote"/>
        <w:keepNext w:val="0"/>
        <w:pageBreakBefore w:val="0"/>
        <w:spacing w:after="180"/>
      </w:pPr>
      <w:r>
        <w:t>All estimates use full-panel native boosting. Intervals are saved 300-replicate reconstructed-person-clustered percentile intervals for pooled AUROC, conditional on fixed out-of-fold predictions. They do not quantify uncertainty in the mean within-group AUROC. Calibration slope comes from a model with a jointly estimated intercept.</w:t>
      </w:r>
    </w:p>
    <w:p>
      <w:pPr>
        <w:pStyle w:val="Heading2"/>
        <w:pageBreakBefore w:val="0"/>
        <w:spacing w:line="480" w:lineRule="auto"/>
      </w:pPr>
      <w:r>
        <w:t>Calibration and exploratory decision analysis</w:t>
      </w:r>
    </w:p>
    <w:p>
      <w:pPr>
        <w:pageBreakBefore w:val="0"/>
        <w:spacing w:line="480" w:lineRule="auto"/>
      </w:pPr>
      <w:r>
        <w:t>Pooled screening-group-held-out calibration slopes for native boosting were 0.828 for low bone mass and 0.837 for prostate echotexture, with Brier scores of 0.107 and 0.115. In temporal evaluation, the slopes were 0.422 and 0.516, and Brier scores were 0.172 and 0.208. Binned calibration plots illustrate the change in agreement between predicted and observed probabilities (Figure 2).</w:t>
      </w:r>
    </w:p>
    <w:p>
      <w:pPr>
        <w:pStyle w:val="Heading2"/>
        <w:keepNext/>
        <w:pageBreakBefore w:val="0"/>
        <w:spacing w:before="200" w:after="100" w:line="480" w:lineRule="auto"/>
      </w:pPr>
      <w:r>
        <w:t>Figure 2. Calibration of the two highlighted endpoints</w:t>
      </w:r>
    </w:p>
    <w:p>
      <w:pPr>
        <w:keepNext/>
        <w:pageBreakBefore w:val="0"/>
      </w:pPr>
      <w:r>
        <w:drawing>
          <wp:inline xmlns:a="http://schemas.openxmlformats.org/drawingml/2006/main" xmlns:pic="http://schemas.openxmlformats.org/drawingml/2006/picture">
            <wp:extent cx="5943600" cy="3063240"/>
            <wp:docPr id="2" name="Picture 2" descr="Figure 2: Binned calibration for low bone mass and prostate echotexture"/>
            <wp:cNvGraphicFramePr>
              <a:graphicFrameLocks noChangeAspect="1"/>
            </wp:cNvGraphicFramePr>
            <a:graphic>
              <a:graphicData uri="http://schemas.openxmlformats.org/drawingml/2006/picture">
                <pic:pic>
                  <pic:nvPicPr>
                    <pic:cNvPr id="0" name="paper_calibration.png"/>
                    <pic:cNvPicPr/>
                  </pic:nvPicPr>
                  <pic:blipFill>
                    <a:blip r:embed="rId12"/>
                    <a:stretch>
                      <a:fillRect/>
                    </a:stretch>
                  </pic:blipFill>
                  <pic:spPr>
                    <a:xfrm>
                      <a:off x="0" y="0"/>
                      <a:ext cx="5943600" cy="3063240"/>
                    </a:xfrm>
                    <a:prstGeom prst="rect"/>
                  </pic:spPr>
                </pic:pic>
              </a:graphicData>
            </a:graphic>
          </wp:inline>
        </w:drawing>
      </w:r>
    </w:p>
    <w:p>
      <w:pPr>
        <w:pStyle w:val="TableNote"/>
        <w:keepNext w:val="0"/>
        <w:keepLines/>
        <w:pageBreakBefore w:val="0"/>
        <w:spacing w:after="180"/>
      </w:pPr>
      <w:r>
        <w:t>Each point gives the mean predicted probability and observed positive proportion within one of ten prediction-quantile bins calculated separately for each endpoint and evaluation design. Lines connect bins for readability and are not smoothed estimates. The dashed line denotes ideal calibration. Native boosting with 50 predictors is used throughout. Curves describe different evaluation populations, contain no uncertainty bands, and do not show performance after recalibration.</w:t>
      </w:r>
    </w:p>
    <w:p>
      <w:pPr>
        <w:pageBreakBefore w:val="0"/>
        <w:spacing w:line="480" w:lineRule="auto"/>
      </w:pPr>
      <w:r>
        <w:t>Pooled average precision for low bone mass was 0.307 in group-held-out evaluation and 0.317 in temporal evaluation, despite the lower temporal AUROC; the corresponding observed prevalences were 13.5% and 21.0%. For prostate echotexture, average precision was 0.467 and 0.477 while prevalence increased from 16.5% to 27.3% (Table 9). Average precision therefore cannot be compared across these samples without its prevalence context.</w:t>
      </w:r>
    </w:p>
    <w:p>
      <w:pPr>
        <w:pStyle w:val="Heading2"/>
        <w:keepNext/>
        <w:pageBreakBefore w:val="0"/>
        <w:spacing w:before="200" w:after="100" w:line="480" w:lineRule="auto"/>
      </w:pPr>
      <w:r>
        <w:t>Table 9. Precision and probability performance</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2480"/>
        <w:gridCol w:w="1360"/>
        <w:gridCol w:w="1160"/>
        <w:gridCol w:w="1480"/>
        <w:gridCol w:w="1400"/>
        <w:gridCol w:w="1480"/>
      </w:tblGrid>
      <w:tr>
        <w:trPr>
          <w:cantSplit/>
          <w:tblHeader/>
        </w:trPr>
        <w:tc>
          <w:tcPr>
            <w:tcW w:type="dxa" w:w="2480"/>
            <w:shd w:fill="F4F6F9"/>
          </w:tcPr>
          <w:p>
            <w:pPr>
              <w:pStyle w:val="TableText"/>
              <w:keepNext/>
            </w:pPr>
            <w:r>
              <w:t>Outcome</w:t>
            </w:r>
          </w:p>
        </w:tc>
        <w:tc>
          <w:tcPr>
            <w:tcW w:type="dxa" w:w="1360"/>
            <w:shd w:fill="F4F6F9"/>
          </w:tcPr>
          <w:p>
            <w:pPr>
              <w:pStyle w:val="TableText"/>
              <w:keepNext/>
            </w:pPr>
            <w:r>
              <w:t>Design</w:t>
            </w:r>
          </w:p>
        </w:tc>
        <w:tc>
          <w:tcPr>
            <w:tcW w:type="dxa" w:w="1160"/>
            <w:shd w:fill="F4F6F9"/>
          </w:tcPr>
          <w:p>
            <w:pPr>
              <w:pStyle w:val="TableText"/>
              <w:keepNext/>
            </w:pPr>
            <w:r>
              <w:t>Positive, %</w:t>
            </w:r>
          </w:p>
        </w:tc>
        <w:tc>
          <w:tcPr>
            <w:tcW w:type="dxa" w:w="1480"/>
            <w:shd w:fill="F4F6F9"/>
          </w:tcPr>
          <w:p>
            <w:pPr>
              <w:pStyle w:val="TableText"/>
              <w:keepNext/>
            </w:pPr>
            <w:r>
              <w:t>Average precision</w:t>
            </w:r>
          </w:p>
        </w:tc>
        <w:tc>
          <w:tcPr>
            <w:tcW w:type="dxa" w:w="1400"/>
            <w:shd w:fill="F4F6F9"/>
          </w:tcPr>
          <w:p>
            <w:pPr>
              <w:pStyle w:val="TableText"/>
              <w:keepNext/>
            </w:pPr>
            <w:r>
              <w:t>Brier score</w:t>
            </w:r>
          </w:p>
        </w:tc>
        <w:tc>
          <w:tcPr>
            <w:tcW w:type="dxa" w:w="1480"/>
            <w:shd w:fill="F4F6F9"/>
          </w:tcPr>
          <w:p>
            <w:pPr>
              <w:pStyle w:val="TableText"/>
              <w:keepNext/>
            </w:pPr>
            <w:r>
              <w:t>Calibration slope</w:t>
            </w:r>
          </w:p>
        </w:tc>
      </w:tr>
      <w:tr>
        <w:trPr>
          <w:cantSplit/>
        </w:trPr>
        <w:tc>
          <w:tcPr>
            <w:tcW w:type="dxa" w:w="2480"/>
          </w:tcPr>
          <w:p>
            <w:pPr>
              <w:pStyle w:val="TableText"/>
              <w:keepNext w:val="0"/>
            </w:pPr>
            <w:r>
              <w:t>Recorded low bone mass</w:t>
            </w:r>
          </w:p>
        </w:tc>
        <w:tc>
          <w:tcPr>
            <w:tcW w:type="dxa" w:w="1360"/>
          </w:tcPr>
          <w:p>
            <w:pPr>
              <w:pStyle w:val="TableText"/>
              <w:keepNext w:val="0"/>
            </w:pPr>
            <w:r>
              <w:t>person</w:t>
            </w:r>
          </w:p>
        </w:tc>
        <w:tc>
          <w:tcPr>
            <w:tcW w:type="dxa" w:w="1160"/>
          </w:tcPr>
          <w:p>
            <w:pPr>
              <w:pStyle w:val="TableText"/>
              <w:keepNext w:val="0"/>
            </w:pPr>
            <w:r>
              <w:t>13.5</w:t>
            </w:r>
          </w:p>
        </w:tc>
        <w:tc>
          <w:tcPr>
            <w:tcW w:type="dxa" w:w="1480"/>
          </w:tcPr>
          <w:p>
            <w:pPr>
              <w:pStyle w:val="TableText"/>
              <w:keepNext w:val="0"/>
            </w:pPr>
            <w:r>
              <w:t>0.323</w:t>
            </w:r>
          </w:p>
        </w:tc>
        <w:tc>
          <w:tcPr>
            <w:tcW w:type="dxa" w:w="1400"/>
          </w:tcPr>
          <w:p>
            <w:r>
              <w:t>0.104</w:t>
            </w:r>
          </w:p>
        </w:tc>
        <w:tc>
          <w:tcPr>
            <w:tcW w:type="dxa" w:w="1480"/>
          </w:tcPr>
          <w:p>
            <w:pPr>
              <w:pStyle w:val="TableText"/>
              <w:keepNext w:val="0"/>
            </w:pPr>
            <w:r>
              <w:t>0.898</w:t>
            </w:r>
          </w:p>
        </w:tc>
      </w:tr>
      <w:tr>
        <w:trPr>
          <w:cantSplit/>
        </w:trPr>
        <w:tc>
          <w:tcPr>
            <w:tcW w:type="dxa" w:w="2480"/>
          </w:tcPr>
          <w:p>
            <w:pPr>
              <w:pStyle w:val="TableText"/>
              <w:keepNext w:val="0"/>
            </w:pPr>
            <w:r>
              <w:t>Recorded low bone mass</w:t>
            </w:r>
          </w:p>
        </w:tc>
        <w:tc>
          <w:tcPr>
            <w:tcW w:type="dxa" w:w="1360"/>
          </w:tcPr>
          <w:p>
            <w:pPr>
              <w:pStyle w:val="TableText"/>
              <w:keepNext w:val="0"/>
            </w:pPr>
            <w:r>
              <w:t>protocol</w:t>
            </w:r>
          </w:p>
        </w:tc>
        <w:tc>
          <w:tcPr>
            <w:tcW w:type="dxa" w:w="1160"/>
          </w:tcPr>
          <w:p>
            <w:pPr>
              <w:pStyle w:val="TableText"/>
              <w:keepNext w:val="0"/>
            </w:pPr>
            <w:r>
              <w:t>13.5</w:t>
            </w:r>
          </w:p>
        </w:tc>
        <w:tc>
          <w:tcPr>
            <w:tcW w:type="dxa" w:w="1480"/>
          </w:tcPr>
          <w:p>
            <w:pPr>
              <w:pStyle w:val="TableText"/>
              <w:keepNext w:val="0"/>
            </w:pPr>
            <w:r>
              <w:t>0.307</w:t>
            </w:r>
          </w:p>
        </w:tc>
        <w:tc>
          <w:tcPr>
            <w:tcW w:type="dxa" w:w="1400"/>
          </w:tcPr>
          <w:p>
            <w:r>
              <w:t>0.107</w:t>
            </w:r>
          </w:p>
        </w:tc>
        <w:tc>
          <w:tcPr>
            <w:tcW w:type="dxa" w:w="1480"/>
          </w:tcPr>
          <w:p>
            <w:pPr>
              <w:pStyle w:val="TableText"/>
              <w:keepNext w:val="0"/>
            </w:pPr>
            <w:r>
              <w:t>0.828</w:t>
            </w:r>
          </w:p>
        </w:tc>
      </w:tr>
      <w:tr>
        <w:trPr>
          <w:cantSplit/>
        </w:trPr>
        <w:tc>
          <w:tcPr>
            <w:tcW w:type="dxa" w:w="2480"/>
          </w:tcPr>
          <w:p>
            <w:pPr>
              <w:pStyle w:val="TableText"/>
              <w:keepNext w:val="0"/>
            </w:pPr>
            <w:r>
              <w:t>Recorded low bone mass</w:t>
            </w:r>
          </w:p>
        </w:tc>
        <w:tc>
          <w:tcPr>
            <w:tcW w:type="dxa" w:w="1360"/>
          </w:tcPr>
          <w:p>
            <w:pPr>
              <w:pStyle w:val="TableText"/>
              <w:keepNext w:val="0"/>
            </w:pPr>
            <w:r>
              <w:t>temporal</w:t>
            </w:r>
          </w:p>
        </w:tc>
        <w:tc>
          <w:tcPr>
            <w:tcW w:type="dxa" w:w="1160"/>
          </w:tcPr>
          <w:p>
            <w:pPr>
              <w:pStyle w:val="TableText"/>
              <w:keepNext w:val="0"/>
            </w:pPr>
            <w:r>
              <w:t>21.0</w:t>
            </w:r>
          </w:p>
        </w:tc>
        <w:tc>
          <w:tcPr>
            <w:tcW w:type="dxa" w:w="1480"/>
          </w:tcPr>
          <w:p>
            <w:pPr>
              <w:pStyle w:val="TableText"/>
              <w:keepNext w:val="0"/>
            </w:pPr>
            <w:r>
              <w:t>0.317</w:t>
            </w:r>
          </w:p>
        </w:tc>
        <w:tc>
          <w:tcPr>
            <w:tcW w:type="dxa" w:w="1400"/>
          </w:tcPr>
          <w:p>
            <w:r>
              <w:t>0.172</w:t>
            </w:r>
          </w:p>
        </w:tc>
        <w:tc>
          <w:tcPr>
            <w:tcW w:type="dxa" w:w="1480"/>
          </w:tcPr>
          <w:p>
            <w:pPr>
              <w:pStyle w:val="TableText"/>
              <w:keepNext w:val="0"/>
            </w:pPr>
            <w:r>
              <w:t>0.422</w:t>
            </w:r>
          </w:p>
        </w:tc>
      </w:tr>
      <w:tr>
        <w:trPr>
          <w:cantSplit/>
        </w:trPr>
        <w:tc>
          <w:tcPr>
            <w:tcW w:type="dxa" w:w="2480"/>
          </w:tcPr>
          <w:p>
            <w:pPr>
              <w:pStyle w:val="TableText"/>
              <w:keepNext w:val="0"/>
            </w:pPr>
            <w:r>
              <w:t>Prostate echotexture, heterogeneous</w:t>
            </w:r>
          </w:p>
        </w:tc>
        <w:tc>
          <w:tcPr>
            <w:tcW w:type="dxa" w:w="1360"/>
          </w:tcPr>
          <w:p>
            <w:pPr>
              <w:pStyle w:val="TableText"/>
              <w:keepNext w:val="0"/>
            </w:pPr>
            <w:r>
              <w:t>person</w:t>
            </w:r>
          </w:p>
        </w:tc>
        <w:tc>
          <w:tcPr>
            <w:tcW w:type="dxa" w:w="1160"/>
          </w:tcPr>
          <w:p>
            <w:pPr>
              <w:pStyle w:val="TableText"/>
              <w:keepNext w:val="0"/>
            </w:pPr>
            <w:r>
              <w:t>14.6</w:t>
            </w:r>
          </w:p>
        </w:tc>
        <w:tc>
          <w:tcPr>
            <w:tcW w:type="dxa" w:w="1480"/>
          </w:tcPr>
          <w:p>
            <w:pPr>
              <w:pStyle w:val="TableText"/>
              <w:keepNext w:val="0"/>
            </w:pPr>
            <w:r>
              <w:t>0.481</w:t>
            </w:r>
          </w:p>
        </w:tc>
        <w:tc>
          <w:tcPr>
            <w:tcW w:type="dxa" w:w="1400"/>
          </w:tcPr>
          <w:p>
            <w:r>
              <w:t>0.097</w:t>
            </w:r>
          </w:p>
        </w:tc>
        <w:tc>
          <w:tcPr>
            <w:tcW w:type="dxa" w:w="1480"/>
          </w:tcPr>
          <w:p>
            <w:pPr>
              <w:pStyle w:val="TableText"/>
              <w:keepNext w:val="0"/>
            </w:pPr>
            <w:r>
              <w:t>0.954</w:t>
            </w:r>
          </w:p>
        </w:tc>
      </w:tr>
      <w:tr>
        <w:trPr>
          <w:cantSplit/>
        </w:trPr>
        <w:tc>
          <w:tcPr>
            <w:tcW w:type="dxa" w:w="2480"/>
          </w:tcPr>
          <w:p>
            <w:pPr>
              <w:pStyle w:val="TableText"/>
              <w:keepNext w:val="0"/>
            </w:pPr>
            <w:r>
              <w:t>Prostate echotexture, heterogeneous</w:t>
            </w:r>
          </w:p>
        </w:tc>
        <w:tc>
          <w:tcPr>
            <w:tcW w:type="dxa" w:w="1360"/>
          </w:tcPr>
          <w:p>
            <w:pPr>
              <w:pStyle w:val="TableText"/>
              <w:keepNext w:val="0"/>
            </w:pPr>
            <w:r>
              <w:t>protocol</w:t>
            </w:r>
          </w:p>
        </w:tc>
        <w:tc>
          <w:tcPr>
            <w:tcW w:type="dxa" w:w="1160"/>
          </w:tcPr>
          <w:p>
            <w:pPr>
              <w:pStyle w:val="TableText"/>
              <w:keepNext w:val="0"/>
            </w:pPr>
            <w:r>
              <w:t>16.5</w:t>
            </w:r>
          </w:p>
        </w:tc>
        <w:tc>
          <w:tcPr>
            <w:tcW w:type="dxa" w:w="1480"/>
          </w:tcPr>
          <w:p>
            <w:pPr>
              <w:pStyle w:val="TableText"/>
              <w:keepNext w:val="0"/>
            </w:pPr>
            <w:r>
              <w:t>0.467</w:t>
            </w:r>
          </w:p>
        </w:tc>
        <w:tc>
          <w:tcPr>
            <w:tcW w:type="dxa" w:w="1400"/>
          </w:tcPr>
          <w:p>
            <w:r>
              <w:t>0.115</w:t>
            </w:r>
          </w:p>
        </w:tc>
        <w:tc>
          <w:tcPr>
            <w:tcW w:type="dxa" w:w="1480"/>
          </w:tcPr>
          <w:p>
            <w:pPr>
              <w:pStyle w:val="TableText"/>
              <w:keepNext w:val="0"/>
            </w:pPr>
            <w:r>
              <w:t>0.837</w:t>
            </w:r>
          </w:p>
        </w:tc>
      </w:tr>
      <w:tr>
        <w:trPr>
          <w:cantSplit/>
        </w:trPr>
        <w:tc>
          <w:tcPr>
            <w:tcW w:type="dxa" w:w="2480"/>
          </w:tcPr>
          <w:p>
            <w:pPr>
              <w:pStyle w:val="TableText"/>
              <w:keepNext/>
            </w:pPr>
            <w:r>
              <w:t>Prostate echotexture, heterogeneous</w:t>
            </w:r>
          </w:p>
        </w:tc>
        <w:tc>
          <w:tcPr>
            <w:tcW w:type="dxa" w:w="1360"/>
          </w:tcPr>
          <w:p>
            <w:pPr>
              <w:pStyle w:val="TableText"/>
              <w:keepNext/>
            </w:pPr>
            <w:r>
              <w:t>temporal</w:t>
            </w:r>
          </w:p>
        </w:tc>
        <w:tc>
          <w:tcPr>
            <w:tcW w:type="dxa" w:w="1160"/>
          </w:tcPr>
          <w:p>
            <w:pPr>
              <w:pStyle w:val="TableText"/>
              <w:keepNext/>
            </w:pPr>
            <w:r>
              <w:t>27.3</w:t>
            </w:r>
          </w:p>
        </w:tc>
        <w:tc>
          <w:tcPr>
            <w:tcW w:type="dxa" w:w="1480"/>
          </w:tcPr>
          <w:p>
            <w:pPr>
              <w:pStyle w:val="TableText"/>
              <w:keepNext/>
            </w:pPr>
            <w:r>
              <w:t>0.477</w:t>
            </w:r>
          </w:p>
        </w:tc>
        <w:tc>
          <w:tcPr>
            <w:tcW w:type="dxa" w:w="1400"/>
          </w:tcPr>
          <w:p>
            <w:r>
              <w:t>0.208</w:t>
            </w:r>
          </w:p>
        </w:tc>
        <w:tc>
          <w:tcPr>
            <w:tcW w:type="dxa" w:w="1480"/>
          </w:tcPr>
          <w:p>
            <w:pPr>
              <w:pStyle w:val="TableText"/>
              <w:keepNext/>
            </w:pPr>
            <w:r>
              <w:t>0.516</w:t>
            </w:r>
          </w:p>
        </w:tc>
      </w:tr>
    </w:tbl>
    <w:p>
      <w:pPr>
        <w:pStyle w:val="TableNote"/>
        <w:keepNext w:val="0"/>
        <w:pageBreakBefore w:val="0"/>
        <w:spacing w:after="180"/>
      </w:pPr>
      <w:r>
        <w:t>All estimates are pooled and use 50-predictor native boosting. Average precision is the implementation’s AUPRC summary and must be interpreted relative to the positive proportion. Brier scores are mean squared probability errors and are also sensitive to the evaluation sample. The calibration slope is estimated jointly with an intercept, with ideal slope 1.</w:t>
      </w:r>
    </w:p>
    <w:p>
      <w:pPr>
        <w:pageBreakBefore w:val="0"/>
        <w:spacing w:line="480" w:lineRule="auto"/>
      </w:pPr>
      <w:r>
        <w:t>At a threshold probability of 0.10, the pooled decision-curve calculations showed net-benefit gains over the better of testing all or none of 2.61 per 100 visits for low bone mass and 2.61 for prostate echotexture. The analogous value was 2.40 for nephrolithiasis and −0.03 for gallstones. Positive pooled net benefit was therefore not unique to the two candidate targets, and these calculations should be interpreted alongside within-group discrimination and the assumed clinical meaning of each endpoint.</w:t>
      </w:r>
    </w:p>
    <w:p>
      <w:pPr>
        <w:pageBreakBefore w:val="0"/>
        <w:spacing w:line="480" w:lineRule="auto"/>
      </w:pPr>
      <w:r>
        <w:t>Exploratory subgroup results used pooled out-of-fold predictions. Low-bone-mass AUROC was 0.736 in men and 0.765 in women, and 0.794 below age 30 compared with 0.665 at age 50 or older. These subgroup summaries were not adjusted for screening-group composition and do not constitute a formal fairness assessment.</w:t>
      </w:r>
    </w:p>
    <w:p>
      <w:pPr>
        <w:pStyle w:val="Heading2"/>
        <w:pageBreakBefore w:val="0"/>
        <w:spacing w:line="480" w:lineRule="auto"/>
      </w:pPr>
      <w:r>
        <w:t>Candidate configurations</w:t>
      </w:r>
    </w:p>
    <w:p>
      <w:pPr>
        <w:pageBreakBefore w:val="0"/>
        <w:spacing w:line="480" w:lineRule="auto"/>
      </w:pPr>
      <w:r>
        <w:t>After excluding VT D3, the imputed candidate configurations had mean within-group AUROCs of 0.715 for low bone mass and 0.766 for prostate echotexture. Common thresholds selected from the retrospective group predictions were 0.07181 and 0.04693, respectively. At these thresholds, the median proportion of tests below the cutoff was 26.7% for densitometry and 26.1% for prostate ultrasound, while sensitivity ranged from 78.3% to 96.4% and from 82.8% to 98.5%, respectively (Table 10). The wide group-level sensitivity ranges are the key operational finding.</w:t>
      </w:r>
    </w:p>
    <w:p>
      <w:pPr>
        <w:pStyle w:val="Heading2"/>
        <w:keepNext/>
        <w:pageBreakBefore w:val="0"/>
        <w:spacing w:before="200" w:after="100" w:line="480" w:lineRule="auto"/>
      </w:pPr>
      <w:r>
        <w:t>Table 10. Exploratory candidate-model operating points</w:t>
      </w:r>
    </w:p>
    <w:tbl>
      <w:tblPr>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CCCCCC"/>
          <w:bottom w:val="single" w:sz="4" w:color="CCCCCC"/>
          <w:left w:val="single" w:sz="4" w:color="CCCCCC"/>
          <w:right w:val="single" w:sz="4" w:color="CCCCCC"/>
          <w:insideH w:val="single" w:sz="4" w:color="CCCCCC"/>
          <w:insideV w:val="single" w:sz="4" w:color="CCCCCC"/>
        </w:tblBorders>
      </w:tblPr>
      <w:tblGrid>
        <w:gridCol w:w="2500"/>
        <w:gridCol w:w="1000"/>
        <w:gridCol w:w="1300"/>
        <w:gridCol w:w="2280"/>
        <w:gridCol w:w="2280"/>
      </w:tblGrid>
      <w:tr>
        <w:trPr>
          <w:cantSplit/>
          <w:tblHeader/>
        </w:trPr>
        <w:tc>
          <w:tcPr>
            <w:tcW w:type="dxa" w:w="2500"/>
            <w:shd w:fill="F4F6F9"/>
          </w:tcPr>
          <w:p>
            <w:pPr>
              <w:pStyle w:val="TableText"/>
              <w:keepNext/>
            </w:pPr>
            <w:r>
              <w:t>Outcome</w:t>
            </w:r>
          </w:p>
        </w:tc>
        <w:tc>
          <w:tcPr>
            <w:tcW w:type="dxa" w:w="1000"/>
            <w:shd w:fill="F4F6F9"/>
          </w:tcPr>
          <w:p>
            <w:pPr>
              <w:pStyle w:val="TableText"/>
              <w:keepNext/>
            </w:pPr>
            <w:r>
              <w:t>Groups</w:t>
            </w:r>
          </w:p>
        </w:tc>
        <w:tc>
          <w:tcPr>
            <w:tcW w:type="dxa" w:w="1300"/>
            <w:shd w:fill="F4F6F9"/>
          </w:tcPr>
          <w:p>
            <w:pPr>
              <w:pStyle w:val="TableText"/>
              <w:keepNext/>
            </w:pPr>
            <w:r>
              <w:t>Mean AUROC</w:t>
            </w:r>
          </w:p>
        </w:tc>
        <w:tc>
          <w:tcPr>
            <w:tcW w:type="dxa" w:w="2280"/>
            <w:shd w:fill="F4F6F9"/>
          </w:tcPr>
          <w:p>
            <w:pPr>
              <w:pStyle w:val="TableText"/>
              <w:keepNext/>
            </w:pPr>
            <w:r>
              <w:t>Sensitivity, % median (range)</w:t>
            </w:r>
          </w:p>
        </w:tc>
        <w:tc>
          <w:tcPr>
            <w:tcW w:type="dxa" w:w="2280"/>
            <w:shd w:fill="F4F6F9"/>
          </w:tcPr>
          <w:p>
            <w:pPr>
              <w:pStyle w:val="TableText"/>
              <w:keepNext/>
            </w:pPr>
            <w:r>
              <w:t>Tests avoided, % median (range)</w:t>
            </w:r>
          </w:p>
        </w:tc>
      </w:tr>
      <w:tr>
        <w:trPr>
          <w:cantSplit/>
        </w:trPr>
        <w:tc>
          <w:tcPr>
            <w:tcW w:type="dxa" w:w="2500"/>
          </w:tcPr>
          <w:p>
            <w:pPr>
              <w:pStyle w:val="TableText"/>
              <w:keepNext/>
            </w:pPr>
            <w:r>
              <w:t>Recorded low bone mass</w:t>
            </w:r>
          </w:p>
        </w:tc>
        <w:tc>
          <w:tcPr>
            <w:tcW w:type="dxa" w:w="1000"/>
          </w:tcPr>
          <w:p>
            <w:pPr>
              <w:pStyle w:val="TableText"/>
              <w:keepNext/>
            </w:pPr>
            <w:r>
              <w:t>12</w:t>
            </w:r>
          </w:p>
        </w:tc>
        <w:tc>
          <w:tcPr>
            <w:tcW w:type="dxa" w:w="1300"/>
          </w:tcPr>
          <w:p>
            <w:pPr>
              <w:pStyle w:val="TableText"/>
              <w:keepNext/>
            </w:pPr>
            <w:r>
              <w:t>0.715</w:t>
            </w:r>
          </w:p>
        </w:tc>
        <w:tc>
          <w:tcPr>
            <w:tcW w:type="dxa" w:w="2280"/>
          </w:tcPr>
          <w:p>
            <w:pPr>
              <w:pStyle w:val="TableText"/>
              <w:keepNext/>
            </w:pPr>
            <w:r>
              <w:t>89.9 (78.3–96.4)</w:t>
            </w:r>
          </w:p>
        </w:tc>
        <w:tc>
          <w:tcPr>
            <w:tcW w:type="dxa" w:w="2280"/>
          </w:tcPr>
          <w:p>
            <w:pPr>
              <w:pStyle w:val="TableText"/>
              <w:keepNext/>
            </w:pPr>
            <w:r>
              <w:t>26.7 (13.9–64.5)</w:t>
            </w:r>
          </w:p>
        </w:tc>
      </w:tr>
      <w:tr>
        <w:trPr>
          <w:cantSplit/>
        </w:trPr>
        <w:tc>
          <w:tcPr>
            <w:tcW w:type="dxa" w:w="2500"/>
          </w:tcPr>
          <w:p>
            <w:pPr>
              <w:pStyle w:val="TableText"/>
              <w:keepNext/>
            </w:pPr>
            <w:r>
              <w:t>Prostate echotexture, heterogeneous</w:t>
            </w:r>
          </w:p>
        </w:tc>
        <w:tc>
          <w:tcPr>
            <w:tcW w:type="dxa" w:w="1000"/>
          </w:tcPr>
          <w:p>
            <w:pPr>
              <w:pStyle w:val="TableText"/>
              <w:keepNext/>
            </w:pPr>
            <w:r>
              <w:t>10</w:t>
            </w:r>
          </w:p>
        </w:tc>
        <w:tc>
          <w:tcPr>
            <w:tcW w:type="dxa" w:w="1300"/>
          </w:tcPr>
          <w:p>
            <w:pPr>
              <w:pStyle w:val="TableText"/>
              <w:keepNext/>
            </w:pPr>
            <w:r>
              <w:t>0.766</w:t>
            </w:r>
          </w:p>
        </w:tc>
        <w:tc>
          <w:tcPr>
            <w:tcW w:type="dxa" w:w="2280"/>
          </w:tcPr>
          <w:p>
            <w:pPr>
              <w:pStyle w:val="TableText"/>
              <w:keepNext/>
            </w:pPr>
            <w:r>
              <w:t>89.7 (82.8–98.5)</w:t>
            </w:r>
          </w:p>
        </w:tc>
        <w:tc>
          <w:tcPr>
            <w:tcW w:type="dxa" w:w="2280"/>
          </w:tcPr>
          <w:p>
            <w:pPr>
              <w:pStyle w:val="TableText"/>
              <w:keepNext/>
            </w:pPr>
            <w:r>
              <w:t>26.1 (4.8–75.7)</w:t>
            </w:r>
          </w:p>
        </w:tc>
      </w:tr>
    </w:tbl>
    <w:p>
      <w:pPr>
        <w:pStyle w:val="TableNote"/>
        <w:keepNext w:val="0"/>
        <w:pageBreakBefore w:val="0"/>
        <w:spacing w:after="180"/>
      </w:pPr>
      <w:r>
        <w:t>Candidate models use median-imputed boosting with 49 predictors, excluding VT D3. A common threshold was selected from the median of group-specific thresholds targeting 90% sensitivity and then summarised in the same retrospective groups; values should therefore be read as exploratory workload and sensitivity estimates.</w:t>
      </w:r>
    </w:p>
    <w:p>
      <w:pPr>
        <w:pStyle w:val="Heading2"/>
        <w:pageBreakBefore w:val="0"/>
        <w:spacing w:line="480" w:lineRule="auto"/>
      </w:pPr>
      <w:r>
        <w:t>Identity and VT D3 audit findings</w:t>
      </w:r>
    </w:p>
    <w:p>
      <w:pPr>
        <w:pageBreakBefore w:val="0"/>
        <w:spacing w:line="480" w:lineRule="auto"/>
      </w:pPr>
      <w:r>
        <w:t>The archive provides no reference patient key, so the number of reconstructed identities that merge or split true individuals is unknown. The VT D3 association was strongly sensitive to operational adjustment. Among labelled records with complete VT D3, age and sex (n=18,428), the odds ratio per 10 source units was 1.523 after age/sex adjustment and 0.965 after additionally including screening-group and extraction-batch indicators. First-record estimates were 1.594 and 0.919 (n=5,235). These exploratory point estimates are descriptive and are not causal or confirmatory effects. The earliest batch had no observed VT D3; batch medians in observed records rose from 23.4–24.7 in 1398 part 2 through 1399 to 38.6–39.7 in 1401. Detailed denominators and batch summaries are in Additional file 2.</w:t>
      </w:r>
    </w:p>
    <w:p>
      <w:pPr>
        <w:pageBreakBefore w:val="0"/>
        <w:spacing w:line="480" w:lineRule="auto"/>
      </w:pPr>
      <w:r>
        <w:t>Attenuation after operational adjustment is consistent with confounding by group/batch and weakens an interpretation based solely on a biological VT D3 effect. It does not establish an assay-batch fault, exclude confounding by testing indication or previous treatment, or rule out leakage. Assay identity, instrument/calibration records, supplements, testing indications and within-visit timestamps were unavailable, so the cause could not be determined. Candidate models therefore continue to exclude VT D3.</w:t>
      </w:r>
    </w:p>
    <w:p>
      <w:pPr>
        <w:pStyle w:val="Heading2"/>
        <w:pageBreakBefore w:val="0"/>
        <w:spacing w:line="480" w:lineRule="auto"/>
      </w:pPr>
      <w:r>
        <w:t>First recorded visit results</w:t>
      </w:r>
    </w:p>
    <w:p>
      <w:pPr>
        <w:pageBreakBefore w:val="0"/>
        <w:spacing w:line="480" w:lineRule="auto"/>
      </w:pPr>
      <w:r>
        <w:t>First-record eligibility yielded 6,567 labelled low-bone-mass records with 615 positives and 5,809 prostate records with 595 positives. Native-boosting pooled person-grouped AUROCs were 0.840 and 0.869; mean screening-group AUROCs were 0.795 and 0.748 (Table 11). The latter evaluations retained eight and four groups, compared with 12 and 10 in the full cohort. Pooled group-held-out calibration slopes were 0.962 and 0.826; intercepts were 0.185 and 0.413, so preserved discrimination did not establish well-calibrated probabilities.</w:t>
      </w:r>
    </w:p>
    <w:p>
      <w:pPr>
        <w:pageBreakBefore w:val="0"/>
        <w:spacing w:line="480" w:lineRule="auto"/>
      </w:pPr>
      <w:r>
        <w:t>On groups evaluable in both cohorts, native-boosting mean AUROC changed from 0.763 to 0.795 for low bone mass and from 0.795 to 0.748 for prostate echotexture. These differences combine changed training samples, outcome prevalence and first-record case mix; they do not isolate repeat-attendance bias. The 49-predictor imputed candidates yielded first-record group AUROCs of 0.758 and 0.756, with pooled calibration slopes of 0.987 and 0.867. Full results and same-environment comparators are in Additional file 2.</w:t>
      </w:r>
    </w:p>
    <w:p>
      <w:pPr>
        <w:pStyle w:val="Heading2"/>
        <w:pageBreakBefore w:val="0"/>
        <w:spacing w:line="480" w:lineRule="auto"/>
      </w:pPr>
      <w:r>
        <w:t>Table 11. First recorded visit sensitivity results</w:t>
      </w:r>
    </w:p>
    <w:tbl>
      <w:tblPr>
        <w:tblW w:type="auto" w:w="0"/>
        <w:jc w:val="center"/>
        <w:tblLayout w:type="fixed"/>
        <w:tblLook w:firstColumn="1" w:firstRow="1" w:lastColumn="0" w:lastRow="0" w:noHBand="0" w:noVBand="1" w:val="04A0"/>
      </w:tblPr>
      <w:tblGrid>
        <w:gridCol w:w="1512"/>
        <w:gridCol w:w="1152"/>
        <w:gridCol w:w="1224"/>
        <w:gridCol w:w="648"/>
        <w:gridCol w:w="2520"/>
        <w:gridCol w:w="2304"/>
      </w:tblGrid>
      <w:tr>
        <w:trPr>
          <w:cantSplit/>
          <w:tblHeader/>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DE7EF"/>
          </w:tcPr>
          <w:p>
            <w:pPr>
              <w:spacing w:after="40" w:line="252" w:lineRule="auto"/>
            </w:pPr>
            <w:r>
              <w:rPr>
                <w:b/>
                <w:sz w:val="17"/>
              </w:rPr>
              <w:t>Outcome</w:t>
            </w:r>
          </w:p>
        </w:tc>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DE7EF"/>
          </w:tcPr>
          <w:p>
            <w:pPr>
              <w:spacing w:after="40" w:line="252" w:lineRule="auto"/>
            </w:pPr>
            <w:r>
              <w:rPr>
                <w:b/>
                <w:sz w:val="17"/>
              </w:rPr>
              <w:t>Design</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DE7EF"/>
          </w:tcPr>
          <w:p>
            <w:pPr>
              <w:spacing w:after="40" w:line="252" w:lineRule="auto"/>
            </w:pPr>
            <w:r>
              <w:rPr>
                <w:b/>
                <w:sz w:val="17"/>
              </w:rPr>
              <w:t>N / positive</w:t>
            </w:r>
          </w:p>
        </w:tc>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DE7EF"/>
          </w:tcPr>
          <w:p>
            <w:pPr>
              <w:spacing w:after="40" w:line="252" w:lineRule="auto"/>
            </w:pPr>
            <w:r>
              <w:rPr>
                <w:b/>
                <w:sz w:val="17"/>
              </w:rPr>
              <w:t>Folds</w:t>
            </w:r>
          </w:p>
        </w:tc>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DE7EF"/>
          </w:tcPr>
          <w:p>
            <w:pPr>
              <w:spacing w:after="40" w:line="252" w:lineRule="auto"/>
            </w:pPr>
            <w:r>
              <w:rPr>
                <w:b/>
                <w:sz w:val="17"/>
              </w:rPr>
              <w:t>AUROC (95% interval)</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DE7EF"/>
          </w:tcPr>
          <w:p>
            <w:pPr>
              <w:spacing w:after="40" w:line="252" w:lineRule="auto"/>
            </w:pPr>
            <w:r>
              <w:rPr>
                <w:b/>
                <w:sz w:val="17"/>
              </w:rPr>
              <w:t>Calibration intercept / slope</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Low bone mass</w:t>
            </w:r>
          </w:p>
        </w:tc>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Person</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6,567 / 615</w:t>
            </w:r>
          </w:p>
        </w:tc>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5</w:t>
            </w:r>
          </w:p>
        </w:tc>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0.840 (0.826–0.854)</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-0.064 / 0.841</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Low bone mass</w:t>
            </w:r>
          </w:p>
        </w:tc>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Screening group</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4,173 / 343</w:t>
            </w:r>
          </w:p>
        </w:tc>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8</w:t>
            </w:r>
          </w:p>
        </w:tc>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0.795 (0.769–0.819)</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0.185 / 0.962</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Prostate echotexture</w:t>
            </w:r>
          </w:p>
        </w:tc>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Person</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5,809 / 595</w:t>
            </w:r>
          </w:p>
        </w:tc>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5</w:t>
            </w:r>
          </w:p>
        </w:tc>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0.869 (0.854–0.882)</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-0.014 / 0.838</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Prostate echotexture</w:t>
            </w:r>
          </w:p>
        </w:tc>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Screening group</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1,816 / 246</w:t>
            </w:r>
          </w:p>
        </w:tc>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4</w:t>
            </w:r>
          </w:p>
        </w:tc>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0.748 (0.696–0.799)</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52" w:lineRule="auto"/>
            </w:pPr>
            <w:r>
              <w:rPr>
                <w:b w:val="0"/>
                <w:sz w:val="17"/>
              </w:rPr>
              <w:t>0.413 / 0.826</w:t>
            </w:r>
          </w:p>
        </w:tc>
      </w:tr>
    </w:tbl>
    <w:p>
      <w:pPr>
        <w:pStyle w:val="TableNote"/>
        <w:pageBreakBefore w:val="0"/>
      </w:pPr>
      <w:r>
        <w:t>Native boosting with 50 predictors. Person results report pooled AUROC; screening-group results report equal-weight mean AUROC. All calibration estimates pool held-out predictions. Intervals condition on fixed predictions and, for group evaluation, the observed groups. They are not paired effect estimates.</w:t>
      </w:r>
    </w:p>
    <w:p>
      <w:pPr>
        <w:pStyle w:val="Heading1"/>
        <w:pageBreakBefore w:val="0"/>
        <w:spacing w:line="480" w:lineRule="auto"/>
      </w:pPr>
      <w:r>
        <w:t>Discussion</w:t>
      </w:r>
    </w:p>
    <w:p>
      <w:pPr>
        <w:pStyle w:val="Heading2"/>
        <w:pageBreakBefore w:val="0"/>
        <w:spacing w:line="480" w:lineRule="auto"/>
      </w:pPr>
      <w:r>
        <w:t>Principal findings</w:t>
      </w:r>
    </w:p>
    <w:p>
      <w:pPr>
        <w:pageBreakBefore w:val="0"/>
        <w:spacing w:line="480" w:lineRule="auto"/>
      </w:pPr>
      <w:r>
        <w:t>Three findings are most consequential. First, predictive signal was endpoint-specific: recorded low bone mass and heterogeneous prostate echotexture had the strongest within-group discrimination, whereas several other targets remained only weakly predictable. Second, most of the incremental signal for the two leading endpoints entered with the chemistry block; adding haematology changed mean AUROC little. Third, model complexity was not uniformly valuable: boosting improved low-bone-mass discrimination over logistic regression, but prostate performance was essentially identical. Together, these results argue for endpoint-specific model and feature selection rather than a single ‘machine-learning’ solution applied across screening modules.</w:t>
      </w:r>
    </w:p>
    <w:p>
      <w:pPr>
        <w:pageBreakBefore w:val="0"/>
        <w:spacing w:line="480" w:lineRule="auto"/>
      </w:pPr>
      <w:r>
        <w:t>The more important constraint emerged from transportability. Performance fell when models were evaluated across time, and the nephrolithiasis example showed that a high pooled AUROC can coexist with much weaker ranking within individual screening groups. For implementation, this means that aggregate discrimination can overstate usefulness in the local group where a referral decision is actually made. A model that appears acceptable in a mixed retrospective sample may therefore require group-specific evaluation, recalibration, or redevelopment before use in a later programme period.</w:t>
      </w:r>
    </w:p>
    <w:p>
      <w:pPr>
        <w:pStyle w:val="Heading2"/>
        <w:pageBreakBefore w:val="0"/>
        <w:spacing w:line="480" w:lineRule="auto"/>
      </w:pPr>
      <w:r>
        <w:t>Relationship to previous work</w:t>
      </w:r>
    </w:p>
    <w:p>
      <w:pPr>
        <w:pageBreakBefore w:val="0"/>
        <w:spacing w:line="480" w:lineRule="auto"/>
      </w:pPr>
      <w:r>
        <w:t>Earlier studies have shown that routine blood tests or health-examination data can predict bone-density outcomes, and one health-examination study reported strong discrimination for ultrasound-defined carotid plaque [1–3]. Our results extend that literature in a different direction: the main contribution is not a higher headline AUROC, but evidence that apparent performance depends strongly on the evaluation population and target definition. Random train–test splits used in some prior work answer a different question from holding out screening groups or later programme periods, so numerical AUROCs are not directly interchangeable. The present results therefore strengthen the case for transportability-focused validation when prediction models are intended to guide screening decisions.</w:t>
      </w:r>
    </w:p>
    <w:p>
      <w:pPr>
        <w:pageBreakBefore w:val="0"/>
        <w:spacing w:line="480" w:lineRule="auto"/>
      </w:pPr>
      <w:r>
        <w:t>This interpretation is consistent with internal–external validation principles [4] and with the emphasis on calibration when predicted probabilities may drive threshold-based decisions [5]. In this dataset, temporal calibration slopes deteriorated alongside discrimination, indicating that both ranking and probability estimates changed over time. The practical consequence is that a stable threshold cannot be assumed simply because development-period discrimination was acceptable.</w:t>
      </w:r>
    </w:p>
    <w:p>
      <w:pPr>
        <w:pStyle w:val="Heading2"/>
        <w:pageBreakBefore w:val="0"/>
        <w:spacing w:line="480" w:lineRule="auto"/>
      </w:pPr>
      <w:r>
        <w:t>Interpreting group heterogeneity</w:t>
      </w:r>
    </w:p>
    <w:p>
      <w:pPr>
        <w:pageBreakBefore w:val="0"/>
        <w:spacing w:line="480" w:lineRule="auto"/>
      </w:pPr>
      <w:r>
        <w:t>Nephrolithiasis provides the clearest example of why pooled and within-group performance answer different questions. Its pooled group-held-out AUROC was 0.770, but the mean within-group AUROC was 0.649. Pooled AUROC benefits from comparisons between people in different groups, whereas a screening decision is usually made among people within the same operational setting. Differences in case mix, prevalence, predictor distributions, and reporting practice can all contribute [8]. For model assessment, the within-group estimate is therefore the more relevant warning signal when deployment is expected to occur inside heterogeneous employer or role groups.</w:t>
      </w:r>
    </w:p>
    <w:p>
      <w:pPr>
        <w:pageBreakBefore w:val="0"/>
        <w:spacing w:line="480" w:lineRule="auto"/>
      </w:pPr>
      <w:r>
        <w:t>Selective module availability adds a second implementation problem. People with an observed outcome were not a random sample of all attendees: testing could reflect contracts, clinician decisions, individual risk, and workforce composition. The model therefore estimates risk among visits with usable recorded labels, not necessarily among people who would be newly spared or referred for testing. This is a form of verification-selection concern [14] and is central to the ‘so what’ of the study: before model-guided allocation can be judged, the target population and reference-testing process must be made explicit.</w:t>
      </w:r>
    </w:p>
    <w:p>
      <w:pPr>
        <w:pageBreakBefore w:val="0"/>
        <w:spacing w:line="480" w:lineRule="auto"/>
      </w:pPr>
      <w:r>
        <w:t>Missing predictors may also encode workflow. Laboratory missingness can reflect clinical and operational processes rather than physiology alone [15], and the sensitivity analyses here cannot separate those mechanisms. A deployment study should therefore monitor not only AUROC and calibration but also whether predictor availability and ordering practice have changed from development.</w:t>
      </w:r>
    </w:p>
    <w:p>
      <w:pPr>
        <w:pStyle w:val="Heading2"/>
        <w:pageBreakBefore w:val="0"/>
        <w:spacing w:line="480" w:lineRule="auto"/>
      </w:pPr>
      <w:r>
        <w:t>Clinical interpretation of the endpoints</w:t>
      </w:r>
    </w:p>
    <w:p>
      <w:pPr>
        <w:pageBreakBefore w:val="0"/>
        <w:spacing w:line="480" w:lineRule="auto"/>
      </w:pPr>
      <w:r>
        <w:t>The two leading endpoints also differ in clinical meaning. For low bone mass, the cohort was relatively young and exported osteopenia/osteoporosis categories were not independently adjudicated. ISCD guidance gives greater weight to Z-scores in premenopausal women and men younger than 50 and does not diagnose osteoporosis in men below 50 on BMD alone [16]. The paired audit showed agreement when BMD- and T-score-filed categories were both present, but large differences in category availability. The immediate implication is that future work should verify the source report, numeric BMD/T- or Z-scores, age/sex context, and menopausal status before treating the label as a clinical endpoint.</w:t>
      </w:r>
    </w:p>
    <w:p>
      <w:pPr>
        <w:pageBreakBefore w:val="0"/>
        <w:spacing w:line="480" w:lineRule="auto"/>
      </w:pPr>
      <w:r>
        <w:t>Heterogeneous prostate echotexture is similarly an imaging descriptor rather than a diagnosis of cancer or another consequential disease state. Its relatively high AUROC is therefore best interpreted as evidence that routine measurements correlate with this recorded imaging pattern. Whether that correlation is useful depends on a downstream decision that this dataset does not define. Endpoint adjudication and specification of the action triggered by a positive score should precede any threshold optimisation.</w:t>
      </w:r>
    </w:p>
    <w:p>
      <w:pPr>
        <w:pStyle w:val="Heading2"/>
        <w:pageBreakBefore w:val="0"/>
        <w:spacing w:line="480" w:lineRule="auto"/>
      </w:pPr>
      <w:r>
        <w:t>Implications for further evaluation</w:t>
      </w:r>
    </w:p>
    <w:p>
      <w:pPr>
        <w:pageBreakBefore w:val="0"/>
        <w:spacing w:line="480" w:lineRule="auto"/>
      </w:pPr>
      <w:r>
        <w:t>The candidate thresholds illustrate both potential and risk. Median estimates suggested that roughly one quarter of densitometry or prostate-ultrasound examinations could fall below a common cutoff, but sensitivity varied substantially across groups. That spread matters more than the median: a referral rule acceptable in one group could miss an unacceptable fraction of findings in another. The next evaluation should therefore freeze thresholds using development or calibration data and report group-specific sensitivity, missed findings, and workload change in a separate sample.</w:t>
      </w:r>
    </w:p>
    <w:p>
      <w:pPr>
        <w:pageBreakBefore w:val="0"/>
        <w:spacing w:line="480" w:lineRule="auto"/>
      </w:pPr>
      <w:r>
        <w:t>A practical next step is a prospective silent study in which the model runs without changing care. Such a study could verify predictor timing, label availability, calibration, and subgroup stability under current workflow. Only after those checks should a referral intervention be tested, using an adjudicated clinically relevant endpoint, prespecified minimum sensitivity, explicit handling of symptom- or clinician-indicated testing, and measurement of actual resource use and missed findings. DECIDE-AI provides a relevant framework for reporting an early clinical evaluation [17]. This sequence turns the present retrospective results into a concrete development path rather than a claim of immediate deployment readiness.</w:t>
      </w:r>
    </w:p>
    <w:p>
      <w:pPr>
        <w:pStyle w:val="Heading2"/>
        <w:pageBreakBefore w:val="0"/>
        <w:spacing w:line="480" w:lineRule="auto"/>
      </w:pPr>
      <w:r>
        <w:t>Strengths and limitations</w:t>
      </w:r>
    </w:p>
    <w:p>
      <w:pPr>
        <w:pageBreakBefore w:val="0"/>
        <w:spacing w:line="480" w:lineRule="auto"/>
      </w:pPr>
      <w:r>
        <w:t>The study’s main strengths are the multi-year dataset, a common modelling framework across 12 endpoints, explicit handling of repeat attendance and unrecorded modules, and evaluation designs that expose weaker performance rather than only reporting a favourable random split. The paired category audit and conditional resampling analyses further clarify two important sources of uncertainty: how reference categories were recorded and how precisely model differences were estimated in the observed evaluation sample.</w:t>
      </w:r>
    </w:p>
    <w:p>
      <w:pPr>
        <w:pageBreakBefore w:val="0"/>
        <w:spacing w:line="480" w:lineRule="auto"/>
      </w:pPr>
      <w:r>
        <w:t>The most important limitations concern who and what were actually evaluated. Reconstructed birth-date-and-sex identities may merge different people or split repeat records, and the 111 repeated identity–date groups do not quantify total linkage error. Outcomes were observed selectively among attendees with recorded module findings, so performance in labelled visits may not generalise to people currently untested. Restriction to first recorded visits addresses repeated weighting but retains quasi-identifier errors and may select different calendar periods and screening groups; it does not recover true-person independence.</w:t>
      </w:r>
    </w:p>
    <w:p>
      <w:pPr>
        <w:pageBreakBefore w:val="0"/>
        <w:spacing w:line="480" w:lineRule="auto"/>
      </w:pPr>
      <w:r>
        <w:t>Outcome definitions were derived from source categories rather than independent adjudication, with incomplete coding dictionaries and variable denominators. Some unrecognised values could be classified as negative, and several endpoints still require clinical review. In addition, all data came from one programme with incomplete information on physical site, assay, operator, and exact timing. The temporal design also excluded returning identities from training, so it captures a combined population-and-period shift rather than pure calendar-time drift.</w:t>
      </w:r>
    </w:p>
    <w:p>
      <w:pPr>
        <w:pageBreakBefore w:val="0"/>
        <w:spacing w:line="480" w:lineRule="auto"/>
      </w:pPr>
      <w:r>
        <w:t>Analytically, the 50-predictor models retained the unresolved VT D3 field, while the 49-predictor candidate models were chosen after review of retrospective results. The new bootstrap intervals condition on fixed predictions and observed groups; they do not include model refitting or uncertainty across future organisations. Sparse endpoints had few eligible groups, subgroup comparisons lacked uncertainty estimates, and imputation cannot guarantee removal of information carried by missingness patterns. The new VT D3 audit supports an operational-confounding explanation but cannot identify the cause. The first-record refits preserve useful ranking for some comparisons while showing prostate group-performance deterioration and residual calibration error. Refit results differ slightly from historical saved scores and are explicitly separated.</w:t>
      </w:r>
    </w:p>
    <w:p>
      <w:pPr>
        <w:pageBreakBefore w:val="0"/>
        <w:spacing w:line="480" w:lineRule="auto"/>
      </w:pPr>
      <w:r>
        <w:t>Finally, the study did not measure downstream clinical outcomes, costs, or harms, and no prospective sample-size calculation or registered analysis protocol was available. These limitations constrain claims about intervention benefit more than they constrain the descriptive finding that transportability varies substantially by endpoint, group, and time. Future studies should address these issues within the participant, predictor, outcome, and analysis domains of PROBAST+AI [18]. The evidence-based PROBAST+AI self-assessment rates overall evaluation risk of bias as high for intended clinical triage, principally because of selective labels, uncertain endpoint validity and post hoc candidate/threshold selection (Additional file 5).</w:t>
      </w:r>
    </w:p>
    <w:p>
      <w:pPr>
        <w:pStyle w:val="Heading1"/>
        <w:pageBreakBefore w:val="0"/>
        <w:spacing w:line="480" w:lineRule="auto"/>
      </w:pPr>
      <w:r>
        <w:t>Conclusions</w:t>
      </w:r>
    </w:p>
    <w:p>
      <w:pPr>
        <w:pageBreakBefore w:val="0"/>
        <w:spacing w:line="480" w:lineRule="auto"/>
      </w:pPr>
      <w:r>
        <w:t>Routine laboratory and clinical measurements contained useful but uneven predictive information for additional recorded screening findings. The strongest endpoints—recorded low bone mass and prostate echotexture—showed moderate within-group discrimination, yet both model performance and calibration weakened under temporal shift, and pooled metrics could mask poor within-group ranking. The key implication is methodological and practical: routine data may support targeted development of screening-prioritisation tools, but evaluation must be anchored to the group, time period, endpoint definition, and decision threshold in which the tool will actually operate. Reanalysis with the retained upstream identifier, clinical adjudication of source labels, and prospective validation of frozen thresholds are the next steps before testing any referral intervention.</w:t>
      </w:r>
    </w:p>
    <w:p>
      <w:pPr>
        <w:pStyle w:val="Heading1"/>
        <w:pageBreakBefore w:val="0"/>
        <w:spacing w:line="480" w:lineRule="auto"/>
      </w:pPr>
      <w:r>
        <w:t>Abbreviations</w:t>
      </w:r>
    </w:p>
    <w:p>
      <w:pPr>
        <w:pageBreakBefore w:val="0"/>
        <w:spacing w:line="480" w:lineRule="auto"/>
      </w:pPr>
      <w:r>
        <w:t>AI, artificial intelligence; AUROC, area under the receiver operating characteristic curve; AUPRC, area under the precision–recall curve; BMD, bone mineral density; BMI, body mass index; DEXA, dual-energy X-ray absorptiometry; GBDT, gradient-boosted decision trees; IQR, interquartile range; K6, six-item psychological distress scale; SD, standard deviation. Laboratory abbreviations and source spellings are detailed in Additional file 1.</w:t>
      </w:r>
    </w:p>
    <w:p>
      <w:pPr>
        <w:pStyle w:val="Heading1"/>
        <w:pageBreakBefore w:val="0"/>
        <w:spacing w:line="480" w:lineRule="auto"/>
      </w:pPr>
      <w:r>
        <w:t>Declarations</w:t>
      </w:r>
    </w:p>
    <w:p>
      <w:pPr>
        <w:pStyle w:val="Heading2"/>
        <w:pageBreakBefore w:val="0"/>
        <w:spacing w:line="480" w:lineRule="auto"/>
      </w:pPr>
      <w:r>
        <w:t>Ethics approval and consent to participate</w:t>
      </w:r>
    </w:p>
    <w:p>
      <w:pPr>
        <w:keepLines/>
        <w:pageBreakBefore w:val="0"/>
        <w:spacing w:line="480" w:lineRule="auto" w:after="120"/>
      </w:pPr>
      <w:r>
        <w:t>[This study used retrospectively collected de-identified occupational health records. The dataset was accessed under institutional approval for research use. The requirement for individual informed consent was waived because all analysed data were de-identified before analysis.]</w:t>
      </w:r>
    </w:p>
    <w:p>
      <w:pPr>
        <w:pStyle w:val="Heading2"/>
        <w:pageBreakBefore w:val="0"/>
        <w:spacing w:line="480" w:lineRule="auto"/>
      </w:pPr>
      <w:r>
        <w:t>Consent for publication</w:t>
      </w:r>
    </w:p>
    <w:p>
      <w:pPr>
        <w:keepLines/>
        <w:pageBreakBefore w:val="0"/>
        <w:spacing w:line="480" w:lineRule="auto" w:after="120"/>
      </w:pPr>
      <w:r>
        <w:t>[Not applicable. This study used de-identified data and does not contain identifiable individual information.]</w:t>
      </w:r>
    </w:p>
    <w:p>
      <w:pPr>
        <w:pStyle w:val="Heading2"/>
        <w:pageBreakBefore w:val="0"/>
        <w:spacing w:line="480" w:lineRule="auto"/>
      </w:pPr>
      <w:r>
        <w:t>Availability of data and materials</w:t>
      </w:r>
    </w:p>
    <w:p>
      <w:pPr>
        <w:keepLines/>
        <w:pageBreakBefore w:val="0"/>
        <w:spacing w:line="480" w:lineRule="auto" w:after="120"/>
      </w:pPr>
      <w:r>
        <w:t>[The datasets generated and/or analysed during the current study are not publicly available because they contain sensitive occupational health information. Access may be considered through the data custodian under appropriate privacy and governance agreements.] No public availability of participant-level records is asserted.</w:t>
      </w:r>
    </w:p>
    <w:p>
      <w:pPr>
        <w:pStyle w:val="Heading2"/>
        <w:pageBreakBefore w:val="0"/>
        <w:spacing w:line="480" w:lineRule="auto"/>
      </w:pPr>
      <w:r>
        <w:t>Code availability</w:t>
      </w:r>
    </w:p>
    <w:p>
      <w:pPr>
        <w:keepLines/>
        <w:pageBreakBefore w:val="0"/>
        <w:spacing w:line="480" w:lineRule="auto" w:after="120"/>
      </w:pPr>
      <w:r>
        <w:t>[The analysis code and supporting materials will be made available at the authors' GitHub repository (https://github.com/m451h) after manuscript revision and repository preparation.] Source code and analysis outputs were available in the research archive; public release has not been verified.</w:t>
      </w:r>
    </w:p>
    <w:p>
      <w:pPr>
        <w:pStyle w:val="Heading2"/>
        <w:pageBreakBefore w:val="0"/>
        <w:spacing w:line="480" w:lineRule="auto"/>
      </w:pPr>
      <w:r>
        <w:t>Competing interests</w:t>
      </w:r>
    </w:p>
    <w:p>
      <w:pPr>
        <w:keepLines/>
        <w:pageBreakBefore w:val="0"/>
        <w:spacing w:line="480" w:lineRule="auto" w:after="120"/>
      </w:pPr>
      <w:r>
        <w:t>[The authors declare that they have no competing interests.]</w:t>
      </w:r>
    </w:p>
    <w:p>
      <w:pPr>
        <w:pStyle w:val="Heading2"/>
        <w:pageBreakBefore w:val="0"/>
        <w:spacing w:line="480" w:lineRule="auto"/>
      </w:pPr>
      <w:r>
        <w:t>Funding</w:t>
      </w:r>
    </w:p>
    <w:p>
      <w:pPr>
        <w:keepLines/>
        <w:pageBreakBefore w:val="0"/>
        <w:spacing w:line="480" w:lineRule="auto" w:after="120"/>
      </w:pPr>
      <w:r>
        <w:t>[This research received no specific grant from any funding agency in the public, commercial, or not-for-profit sectors.]</w:t>
      </w:r>
    </w:p>
    <w:p>
      <w:pPr>
        <w:pStyle w:val="Heading2"/>
        <w:pageBreakBefore w:val="0"/>
        <w:spacing w:line="480" w:lineRule="auto"/>
      </w:pPr>
      <w:r>
        <w:t>Authors’ contributions</w:t>
      </w:r>
    </w:p>
    <w:p>
      <w:pPr>
        <w:keepLines/>
        <w:pageBreakBefore w:val="0"/>
        <w:spacing w:line="480" w:lineRule="auto" w:after="120"/>
      </w:pPr>
      <w:r>
        <w:t>[Aliasghar Noori: Conceptualization, Methodology, Supervision, Project administration.</w:t>
        <w:br/>
        <w:t>Masih Mousavi: Conceptualization, Methodology, Software, Data curation, Formal analysis, Investigation, Writing – original draft, Visualization, Project administration.</w:t>
        <w:br/>
        <w:t>Bardia Malackzadeh: Writing – review &amp; editing, Visualization.</w:t>
        <w:br/>
        <w:t>Mehdi Hosseinpour: Methodology, Software, Data curation.]</w:t>
      </w:r>
    </w:p>
    <w:p>
      <w:pPr>
        <w:pStyle w:val="Heading2"/>
        <w:pageBreakBefore w:val="0"/>
        <w:spacing w:line="480" w:lineRule="auto"/>
      </w:pPr>
      <w:r>
        <w:t>Acknowledgements</w:t>
      </w:r>
    </w:p>
    <w:p>
      <w:pPr>
        <w:keepLines/>
        <w:pageBreakBefore w:val="0"/>
        <w:spacing w:line="480" w:lineRule="auto" w:after="120"/>
      </w:pPr>
      <w:r>
        <w:t>[Not applicable.]</w:t>
      </w:r>
    </w:p>
    <w:p>
      <w:pPr>
        <w:pStyle w:val="Heading2"/>
        <w:pageBreakBefore w:val="0"/>
        <w:spacing w:line="480" w:lineRule="auto"/>
      </w:pPr>
      <w:r>
        <w:t>Patient and public involvement</w:t>
      </w:r>
    </w:p>
    <w:p>
      <w:pPr>
        <w:keepLines/>
        <w:pageBreakBefore w:val="0"/>
        <w:spacing w:line="480" w:lineRule="auto" w:after="120"/>
      </w:pPr>
      <w:r>
        <w:t>[Patients or members of the public were not involved in the design, conduct, reporting, or dissemination plans of this research.]</w:t>
      </w:r>
    </w:p>
    <w:p>
      <w:pPr>
        <w:pStyle w:val="Heading1"/>
        <w:pageBreakBefore w:val="0"/>
        <w:spacing w:line="480" w:lineRule="auto"/>
      </w:pPr>
      <w:r>
        <w:t>Additional files</w:t>
      </w:r>
    </w:p>
    <w:p>
      <w:pPr>
        <w:pageBreakBefore w:val="0"/>
        <w:spacing w:line="480" w:lineRule="auto"/>
      </w:pPr>
      <w:r>
        <w:t>Additional file 1. Data dictionary for all 50 predictors and 12 outcomes (DOCX; accompanying S1_predictors.csv and S1_outcomes.csv).</w:t>
      </w:r>
    </w:p>
    <w:p>
      <w:pPr>
        <w:pageBreakBefore w:val="0"/>
        <w:spacing w:line="480" w:lineRule="auto"/>
      </w:pPr>
      <w:r>
        <w:t>Additional file 2. Identity audit, VT D3 investigation, first-record sensitivity analyses and historical full-panel calibration (DOCX; accompanying S2_identity_audit.csv, S2_VTD3_audit.csv, S2_first_record_results.csv and S2_historical_calibration.csv). Summary CSVs transcribe reported results; later revision scripts are not included.</w:t>
      </w:r>
    </w:p>
    <w:p>
      <w:pPr>
        <w:pageBreakBefore w:val="0"/>
        <w:spacing w:line="480" w:lineRule="auto"/>
      </w:pPr>
      <w:r>
        <w:t>Additional file 3. TRIPOD+AI item-level reporting checklist (DOCX).</w:t>
      </w:r>
    </w:p>
    <w:p>
      <w:pPr>
        <w:pageBreakBefore w:val="0"/>
        <w:spacing w:line="480" w:lineRule="auto"/>
      </w:pPr>
      <w:r>
        <w:t>Additional file 4. RECORD extension checklist and STROBE mapping (DOCX).</w:t>
      </w:r>
    </w:p>
    <w:p>
      <w:pPr>
        <w:pageBreakBefore w:val="0"/>
        <w:spacing w:line="480" w:lineRule="auto"/>
      </w:pPr>
      <w:r>
        <w:t>Additional file 5. PROBAST+AI development and evaluation domain-level self-assessment (DOCX; not an item-by-item signalling-question form).</w:t>
      </w:r>
    </w:p>
    <w:p>
      <w:pPr>
        <w:pStyle w:val="Heading1"/>
        <w:pageBreakBefore w:val="0"/>
        <w:spacing w:line="480" w:lineRule="auto"/>
      </w:pPr>
      <w:r>
        <w:t>References</w:t>
      </w:r>
    </w:p>
    <w:p>
      <w:pPr>
        <w:pStyle w:val="Reference"/>
        <w:keepLines/>
        <w:pageBreakBefore w:val="0"/>
        <w:spacing w:after="60"/>
      </w:pPr>
      <w:r>
        <w:t>[1] Wei Q, Zhan J, Chen X, et al. Development and validation of an interpretable machine learning model for osteoporosis prediction using routine blood tests: a retrospective cohort study. BMC Med Inform Decis Mak. 2025;25:446. doi:10.1186/s12911-025-03292-1.</w:t>
      </w:r>
    </w:p>
    <w:p>
      <w:pPr>
        <w:pStyle w:val="Reference"/>
        <w:keepLines/>
        <w:pageBreakBefore w:val="0"/>
        <w:spacing w:after="60"/>
      </w:pPr>
      <w:r>
        <w:t>[2] Li B, Wu D, Kong X, Shi Y, Gao C, Li Y. Application of machine learning on health examination data for predicting the decrease of bone mineral density. Int J Clin Exp Pathol. 2025;18(10):524–534. doi:10.62347/ANWP5930.</w:t>
      </w:r>
    </w:p>
    <w:p>
      <w:pPr>
        <w:pStyle w:val="Reference"/>
        <w:keepLines/>
        <w:pageBreakBefore w:val="0"/>
        <w:spacing w:after="60"/>
      </w:pPr>
      <w:r>
        <w:t>[3] Wei Y, Tao J, Geng Y, Ning Y, Li W, Bi B. Application of machine learning algorithms in predicting carotid artery plaques using routine health assessments. Front Cardiovasc Med. 2024;11:1454642. doi:10.3389/fcvm.2024.1454642.</w:t>
      </w:r>
    </w:p>
    <w:p>
      <w:pPr>
        <w:pStyle w:val="Reference"/>
        <w:keepLines/>
        <w:pageBreakBefore w:val="0"/>
        <w:spacing w:after="60"/>
      </w:pPr>
      <w:r>
        <w:t>[4] Steyerberg EW, Harrell FE Jr. Prediction models need appropriate internal, internal–external, and external validation. J Clin Epidemiol. 2016;69:245–247. doi:10.1016/j.jclinepi.2015.04.005.</w:t>
      </w:r>
    </w:p>
    <w:p>
      <w:pPr>
        <w:pStyle w:val="Reference"/>
        <w:keepLines/>
        <w:pageBreakBefore w:val="0"/>
        <w:spacing w:after="60"/>
      </w:pPr>
      <w:r>
        <w:t>[5] Van Calster B, McLernon DJ, van Smeden M, Wynants L, Steyerberg EW; STRATOS Topic Group. Calibration: the Achilles heel of predictive analytics. BMC Med. 2019;17:230. doi:10.1186/s12916-019-1466-7.</w:t>
      </w:r>
    </w:p>
    <w:p>
      <w:pPr>
        <w:pStyle w:val="Reference"/>
        <w:keepLines/>
        <w:pageBreakBefore w:val="0"/>
        <w:spacing w:after="60"/>
      </w:pPr>
      <w:r>
        <w:t>[6] Vickers AJ, Elkin EB. Decision curve analysis: a novel method for evaluating prediction models. Med Decis Making. 2006;26(6):565–574. doi:10.1177/0272989X06295361.</w:t>
      </w:r>
    </w:p>
    <w:p>
      <w:pPr>
        <w:pStyle w:val="Reference"/>
        <w:keepLines/>
        <w:pageBreakBefore w:val="0"/>
        <w:spacing w:after="60"/>
      </w:pPr>
      <w:r>
        <w:t>[7] Subbaswamy A, Saria S. From development to deployment: dataset shift, causality, and shift-stable models in health AI. Biostatistics. 2020;21(2):345–352. doi:10.1093/biostatistics/kxz041.</w:t>
      </w:r>
    </w:p>
    <w:p>
      <w:pPr>
        <w:pStyle w:val="Reference"/>
        <w:keepLines/>
        <w:pageBreakBefore w:val="0"/>
        <w:spacing w:after="60"/>
      </w:pPr>
      <w:r>
        <w:t>[8] Debray TPA, Vergouwe Y, Koffijberg H, Nieboer D, Steyerberg EW, Moons KGM. A new framework to enhance the interpretation of external validation studies of clinical prediction models. J Clin Epidemiol. 2015;68(3):279–289. doi:10.1016/j.jclinepi.2014.06.018.</w:t>
      </w:r>
    </w:p>
    <w:p>
      <w:pPr>
        <w:pStyle w:val="Reference"/>
        <w:keepLines/>
        <w:pageBreakBefore w:val="0"/>
        <w:spacing w:after="60"/>
      </w:pPr>
      <w:r>
        <w:t>[9] Collins GS, Moons KGM, Dhiman P, et al. TRIPOD+AI statement: updated guidance for reporting clinical prediction models that use regression or machine learning methods. BMJ. 2024;385:e078378. doi:10.1136/bmj-2023-078378.</w:t>
      </w:r>
    </w:p>
    <w:p>
      <w:pPr>
        <w:pStyle w:val="Reference"/>
        <w:keepLines/>
        <w:pageBreakBefore w:val="0"/>
        <w:spacing w:after="60"/>
      </w:pPr>
      <w:r>
        <w:t>[10] Benchimol EI, Smeeth L, Guttmann A, et al. The REporting of studies Conducted using Observational Routinely-collected health Data (RECORD) statement. PLoS Med. 2015;12(10):e1001885. doi:10.1371/journal.pmed.1001885.</w:t>
      </w:r>
    </w:p>
    <w:p>
      <w:pPr>
        <w:pStyle w:val="Reference"/>
        <w:keepLines/>
        <w:pageBreakBefore w:val="0"/>
        <w:spacing w:after="60"/>
      </w:pPr>
      <w:r>
        <w:t>[11] Kessler RC, Barker PR, Colpe LJ, et al. Screening for serious mental illness in the general population. Arch Gen Psychiatry. 2003;60(2):184–189. doi:10.1001/archpsyc.60.2.184.</w:t>
      </w:r>
    </w:p>
    <w:p>
      <w:pPr>
        <w:pStyle w:val="Reference"/>
        <w:keepLines/>
        <w:pageBreakBefore w:val="0"/>
        <w:spacing w:after="60"/>
      </w:pPr>
      <w:r>
        <w:t>[12] Friedman JH. Greedy function approximation: a gradient boosting machine. Ann Stat. 2001;29(5):1189–1232. doi:10.1214/aos/1013203451.</w:t>
      </w:r>
    </w:p>
    <w:p>
      <w:pPr>
        <w:pStyle w:val="Reference"/>
        <w:keepLines/>
        <w:pageBreakBefore w:val="0"/>
        <w:spacing w:after="60"/>
      </w:pPr>
      <w:r>
        <w:t>[13] Saito T, Rehmsmeier M. The precision-recall plot is more informative than the ROC plot when evaluating binary classifiers on imbalanced datasets. PLoS One. 2015;10(3):e0118432. doi:10.1371/journal.pone.0118432.</w:t>
      </w:r>
    </w:p>
    <w:p>
      <w:pPr>
        <w:pStyle w:val="Reference"/>
        <w:keepLines/>
        <w:pageBreakBefore w:val="0"/>
        <w:spacing w:after="60"/>
      </w:pPr>
      <w:r>
        <w:t>[14] Begg CB, Greenes RA. Assessment of diagnostic tests when disease verification is subject to selection bias. Biometrics. 1983;39(1):207–215. doi:10.2307/2530820.</w:t>
      </w:r>
    </w:p>
    <w:p>
      <w:pPr>
        <w:pStyle w:val="Reference"/>
        <w:keepLines/>
        <w:pageBreakBefore w:val="0"/>
        <w:spacing w:after="60"/>
      </w:pPr>
      <w:r>
        <w:t>[15] Li J, Yan XS, Chaudhary D, et al. Imputation of missing values for electronic health record laboratory data. npj Digit Med. 2021;4:147. doi:10.1038/s41746-021-00518-0.</w:t>
      </w:r>
    </w:p>
    <w:p>
      <w:pPr>
        <w:pStyle w:val="Reference"/>
        <w:keepLines/>
        <w:pageBreakBefore w:val="0"/>
        <w:spacing w:after="60"/>
      </w:pPr>
      <w:r>
        <w:t>[16] International Society for Clinical Densitometry. Official Adult Positions, 2023. Available at: https://iscd.org/official-positions-2023/. Accessed 6 September 2026.</w:t>
      </w:r>
    </w:p>
    <w:p>
      <w:pPr>
        <w:pStyle w:val="Reference"/>
        <w:keepLines/>
        <w:pageBreakBefore w:val="0"/>
        <w:spacing w:after="60"/>
      </w:pPr>
      <w:r>
        <w:t>[17] Vasey B, Nagendran M, Campbell B, et al. Reporting guideline for the early-stage clinical evaluation of decision support systems driven by artificial intelligence: DECIDE-AI. Nat Med. 2022;28(5):924–933. doi:10.1038/s41591-022-01772-9.</w:t>
      </w:r>
    </w:p>
    <w:p>
      <w:pPr>
        <w:pStyle w:val="Reference"/>
        <w:keepLines/>
        <w:pageBreakBefore w:val="0"/>
        <w:spacing w:after="60"/>
      </w:pPr>
      <w:r>
        <w:t>[18] Moons KGM, Damen JAA, Kaul T, et al. PROBAST+AI: an updated quality, risk of bias, and applicability assessment tool for prediction models using regression or artificial intelligence methods. BMJ. 2025;388:e082505. doi:10.1136/bmj-2024-082505.</w:t>
      </w:r>
    </w:p>
    <w:p>
      <w:pPr>
        <w:pageBreakBefore w:val="0"/>
        <w:spacing w:line="480"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ableNote"/>
    </w:pPr>
    <w:r>
      <w:t>Routine measurements and screening findings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60" w:lineRule="auto"/>
      <w:jc w:val="left"/>
    </w:pPr>
    <w:rPr>
      <w:rFonts w:ascii="Times New Roman" w:hAnsi="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60" w:lineRule="auto"/>
      <w:jc w:val="left"/>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jc w:val="left"/>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60" w:lineRule="auto"/>
      <w:jc w:val="left"/>
      <w:outlineLvl w:val="2"/>
    </w:pPr>
    <w:rPr>
      <w:rFonts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40" w:line="360" w:lineRule="auto" w:before="0"/>
      <w:contextualSpacing/>
      <w:jc w:val="left"/>
    </w:pPr>
    <w:rPr>
      <w:rFonts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360" w:lineRule="auto"/>
      <w:jc w:val="left"/>
    </w:pPr>
    <w:rPr>
      <w:rFonts w:ascii="Times New Roman" w:hAnsi="Times New Roman"/>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widowControl/>
      <w:spacing w:before="0" w:after="60" w:line="240" w:lineRule="auto"/>
    </w:pPr>
    <w:rPr>
      <w:rFonts w:ascii="Times New Roman" w:hAnsi="Times New Roman"/>
      <w:color w:val="000000"/>
      <w:sz w:val="18"/>
    </w:rPr>
  </w:style>
  <w:style w:type="paragraph" w:customStyle="1" w:styleId="TableNote">
    <w:name w:val="Table Note"/>
    <w:pPr>
      <w:widowControl/>
      <w:spacing w:before="80" w:after="80" w:line="240" w:lineRule="auto"/>
    </w:pPr>
    <w:rPr>
      <w:rFonts w:ascii="Times New Roman" w:hAnsi="Times New Roman"/>
      <w:color w:val="000000"/>
      <w:sz w:val="18"/>
    </w:rPr>
  </w:style>
  <w:style w:type="paragraph" w:customStyle="1" w:styleId="Reference">
    <w:name w:val="Reference"/>
    <w:pPr>
      <w:widowControl/>
      <w:spacing w:before="0" w:after="120" w:line="240" w:lineRule="auto"/>
    </w:pPr>
    <w:rPr>
      <w:rFonts w:ascii="Times New Roman" w:hAnsi="Times New Roman"/>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additional screening findings from routine measurements: validation across occupational screening groups and time</dc:title>
  <dc:subject>Retrospective clinical prediction study</dc:subject>
  <dc:creator/>
  <cp:keywords>occupational health; clinical prediction; temporal validation</cp:keywords>
  <dc:description>Revised from supplied manuscript on 2026-09-16; new refits and audit supplements; author factual declarations remain unresolved.</dc:description>
  <cp:lastModifiedBy/>
  <cp:revision>1</cp:revision>
  <dcterms:created xsi:type="dcterms:W3CDTF">2013-12-23T23:15:00Z</dcterms:created>
  <dcterms:modified xsi:type="dcterms:W3CDTF">2013-12-23T23:15:00Z</dcterms:modified>
  <cp:category/>
</cp:coreProperties>
</file>