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Additional file 4 RECORD reporting checklist</w:t>
      </w:r>
    </w:p>
    <w:p>
      <w:r>
        <w:rPr>
          <w:rFonts w:ascii="Arial" w:hAnsi="Arial"/>
          <w:color w:val="000000"/>
        </w:rPr>
        <w:t>Completed RECORD extension items for the revised retrospective prediction study. Locators refer to the manuscript and supplements. Missing upstream information is identified explicitly. The following second section maps the underlying STROBE topics so RECORD is not presented as a substitute for them.</w:t>
      </w:r>
    </w:p>
    <w:p>
      <w:r>
        <w:rPr>
          <w:rFonts w:ascii="Arial" w:hAnsi="Arial"/>
          <w:color w:val="000000"/>
        </w:rPr>
        <w:t>Source: Benchimol et al. PLoS Med. 2015;12:e1001885. https://doi.org/10.1371/journal.pmed.1001885. Official checklist: https://www.record-statement.org/checklist.php. Topic labels are abbreviated; full requirements remain in the official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044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Item</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Status</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Location and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1.1 Routine sources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Abstract; Data acquisition — Clinic, laboratory, imaging and specialist data identified; original database product names unavailable.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1.2 Place and period</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Abstract; Study design — Iran and Persian programme years supplied; exact dates and subnational locations await authors.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1.3 Linked sources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Abstract; Data acquisition — Cross-system linkage described in abstract and methods.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6.1 Cohort selection</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Study design; Outcomes; Models and validation — Full export retained with endpoint-specific labels and sex eligibility; group thresholds explicit.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6.2 Selection validation</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Unavailable</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Identity audit; Additional file 2 — No independent validation of source selection or true-ID concordance can be performed from archive.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6.3 Linkage flow</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Data acquisition; Additional file 2 — Upstream linkage sequence known; input, successful-link and failed-link counts unavailable.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7.1 Variable algorithms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Tables 1–2; Additional file 1 — All 50 predictors and 12 outcome transformations documented, including unrecognised-value behavior.</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12.1 Investigator access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Data acquisition; Additional file 2 — Revision used exported workbook, processed records and saved predictions. Upstream database access unavailable; original team access requires confirmation.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12.2 Data cleaning</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Data harmonisation; Additional file 1 — Sentinels, coercion, numeric ranges, category coalescence and batch checking described.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12.3 Linkage quality</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Data acquisition; Identity audit — Patient-ID linkage reported upstream, reconstructed groups used in models. No crosswalk permits false-merge/split estimation.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13.1 Selection counts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Cohort results; Table 4; Additional file 2 — Source and endpoint denominators known; losses before merged export and failed link counts unavailable.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19.1 Routine-data biases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Discussion; Strengths and limitations — Selective testing, unvalidated categories, inferred units, group/time differences and linkage error discussed.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22.1 Research access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before="0" w:line="240" w:lineRule="auto"/>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before="0" w:line="240" w:lineRule="auto"/>
            </w:pPr>
            <w:r>
              <w:rPr>
                <w:rFonts w:ascii="Arial" w:hAnsi="Arial"/>
                <w:b w:val="0"/>
                <w:color w:val="000000"/>
                <w:sz w:val="17"/>
              </w:rPr>
              <w:t>Declarations; Additional files 1-2: dictionary and original code are available in the received archive, but later revision scripts, original protocol, public code permissions and approved data access are not supplied.</w:t>
            </w:r>
          </w:p>
        </w:tc>
      </w:tr>
    </w:tbl>
    <w:p>
      <w:pPr>
        <w:spacing w:before="0" w:after="0" w:line="240" w:lineRule="auto"/>
      </w:pPr>
    </w:p>
    <w:p>
      <w:pPr>
        <w:pStyle w:val="Heading1"/>
      </w:pPr>
      <w:r>
        <w:rPr>
          <w:rFonts w:ascii="Arial" w:hAnsi="Arial"/>
          <w:color w:val="000000"/>
        </w:rPr>
        <w:t>Underlying STROBE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044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Item/topic</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Status</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BED"/>
            <w:tcMar>
              <w:top w:w="70" w:type="dxa"/>
              <w:bottom w:w="70" w:type="dxa"/>
              <w:left w:w="70" w:type="dxa"/>
              <w:right w:w="70" w:type="dxa"/>
            </w:tcMar>
          </w:tcPr>
          <w:p>
            <w:pPr>
              <w:keepNext w:val="0"/>
              <w:spacing w:after="0" w:line="240" w:lineRule="auto" w:before="0"/>
            </w:pPr>
            <w:r>
              <w:rPr>
                <w:rFonts w:ascii="Arial" w:hAnsi="Arial"/>
                <w:b/>
                <w:color w:val="000000"/>
                <w:sz w:val="17"/>
              </w:rPr>
              <w:t>Manuscript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 Title/abstract</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before="0" w:line="240" w:lineRule="auto"/>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before="0" w:line="240" w:lineRule="auto"/>
            </w:pPr>
            <w:r>
              <w:rPr>
                <w:rFonts w:ascii="Arial" w:hAnsi="Arial"/>
                <w:b w:val="0"/>
                <w:color w:val="000000"/>
                <w:sz w:val="17"/>
              </w:rPr>
              <w:t>Title identifies prediction-model development/evaluation and the setting; retrospective design is stated in Methods. Structured abstract is present.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2–3 Rationale/objectives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Background.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4 Design</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Methods opening.</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5 Setting</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Setting and dates pending author verification.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6 Participants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Target eligibility explicit; source recruitment details missing.</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7 Variables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Additional file 1.</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8 Measurements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Routine sources documented; assay units and reader standardisation unverified.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9 Bias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Identity audit, sensitivity analyses and limitations.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10 Size</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Available-data basis; no precision calculation.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11 Quantitative variables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Predictor dictionary and models.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12 Statistics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Validation designs, missingness, clustered intervals and sensitivity methods; no loss-to-follow-up analysis needed for same-visit findings.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13 Flow</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Visit and target counts known; upstream losses unknown.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14 Descriptive data</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Partial</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Table 3, Table 4 and predictor availability; treatment data absent.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15 Outcome counts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Table 4 and Additional file 2.</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16 Main estimates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Tables 6–10; predictive rather than causal effects.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17 Other analyses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Subgroups, temporal, first-record and VT D3 audits.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18 Main findings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Discussion.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19 Limitations</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Discussion.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20 Interpretation</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Exploratory scope and application limits.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21 Generalisability</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Reported</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Group/time heterogeneity and selective-label concerns.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22 Funding</w:t>
            </w:r>
          </w:p>
        </w:tc>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Awaiting authors</w:t>
            </w:r>
          </w:p>
        </w:tc>
        <w:tc>
          <w:tcPr>
            <w:tcW w:type="dxa" w:w="10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Mar>
              <w:top w:w="70" w:type="dxa"/>
              <w:bottom w:w="70" w:type="dxa"/>
              <w:left w:w="70" w:type="dxa"/>
              <w:right w:w="70" w:type="dxa"/>
            </w:tcMar>
          </w:tcPr>
          <w:p>
            <w:pPr>
              <w:keepNext w:val="0"/>
              <w:spacing w:after="0" w:line="240" w:lineRule="auto" w:before="0"/>
            </w:pPr>
            <w:r>
              <w:rPr>
                <w:rFonts w:ascii="Arial" w:hAnsi="Arial"/>
                <w:b w:val="0"/>
                <w:color w:val="000000"/>
                <w:sz w:val="17"/>
              </w:rPr>
              <w:t>Declarations.</w:t>
            </w:r>
          </w:p>
        </w:tc>
      </w:tr>
    </w:tbl>
    <w:p>
      <w:pPr>
        <w:spacing w:before="0" w:after="0" w:line="240" w:lineRule="auto"/>
      </w:pPr>
    </w:p>
    <w:sectPr w:rsidR="00FC693F" w:rsidRPr="0006063C" w:rsidSect="00034616">
      <w:footerReference w:type="default" r:id="rId9"/>
      <w:pgSz w:w="16848" w:h="11952"/>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DejaVu Sans" w:hAnsi="DejaVu San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4 RECORD reporting checklist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