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6"/>
        </w:rPr>
        <w:t>RAPPORT HEBDOMADAIRE ASSISTANT IA SASU</w:t>
      </w:r>
    </w:p>
    <w:p>
      <w:pPr>
        <w:spacing w:after="280" w:line="264" w:lineRule="auto"/>
      </w:pPr>
      <w:r>
        <w:rPr>
          <w:rFonts w:ascii="Calibri" w:hAnsi="Calibri"/>
          <w:b w:val="0"/>
          <w:i w:val="0"/>
          <w:color w:val="565F6C"/>
          <w:sz w:val="27"/>
        </w:rPr>
        <w:t>Veille approfondie, prospection qualifiee et recommandations Product/IA</w:t>
      </w:r>
    </w:p>
    <w:p>
      <w:pPr>
        <w:spacing w:after="40" w:line="264" w:lineRule="auto"/>
      </w:pPr>
      <w:r>
        <w:rPr>
          <w:rFonts w:ascii="Calibri" w:hAnsi="Calibri"/>
          <w:b/>
          <w:color w:val="000000"/>
        </w:rPr>
        <w:t xml:space="preserve">Destinataire : </w:t>
      </w:r>
      <w:r>
        <w:rPr>
          <w:rFonts w:ascii="Calibri" w:hAnsi="Calibri"/>
          <w:color w:val="000000"/>
        </w:rPr>
        <w:t>Michael ASSAYAG - President SASU</w:t>
      </w:r>
    </w:p>
    <w:p>
      <w:pPr>
        <w:spacing w:after="40" w:line="264" w:lineRule="auto"/>
      </w:pPr>
      <w:r>
        <w:rPr>
          <w:rFonts w:ascii="Calibri" w:hAnsi="Calibri"/>
          <w:b/>
          <w:color w:val="000000"/>
        </w:rPr>
        <w:t xml:space="preserve">Autrice : </w:t>
      </w:r>
      <w:r>
        <w:rPr>
          <w:rFonts w:ascii="Calibri" w:hAnsi="Calibri"/>
          <w:color w:val="000000"/>
        </w:rPr>
        <w:t>Virginie ASSAYAG</w:t>
      </w:r>
    </w:p>
    <w:p>
      <w:pPr>
        <w:spacing w:after="40" w:line="264" w:lineRule="auto"/>
      </w:pPr>
      <w:r>
        <w:rPr>
          <w:rFonts w:ascii="Calibri" w:hAnsi="Calibri"/>
          <w:b/>
          <w:color w:val="000000"/>
        </w:rPr>
        <w:t xml:space="preserve">Positionnement : </w:t>
      </w:r>
      <w:r>
        <w:rPr>
          <w:rFonts w:ascii="Calibri" w:hAnsi="Calibri"/>
          <w:color w:val="000000"/>
        </w:rPr>
        <w:t>Freelance senior : gestion de projet, product digital, IA</w:t>
      </w:r>
    </w:p>
    <w:p>
      <w:pPr>
        <w:spacing w:after="40" w:line="264" w:lineRule="auto"/>
      </w:pPr>
      <w:r>
        <w:rPr>
          <w:rFonts w:ascii="Calibri" w:hAnsi="Calibri"/>
          <w:b/>
          <w:color w:val="000000"/>
        </w:rPr>
        <w:t xml:space="preserve">Cadence cible : </w:t>
      </w:r>
      <w:r>
        <w:rPr>
          <w:rFonts w:ascii="Calibri" w:hAnsi="Calibri"/>
          <w:color w:val="000000"/>
        </w:rPr>
        <w:t>Mercredi soir</w:t>
      </w:r>
    </w:p>
    <w:p>
      <w:pPr>
        <w:spacing w:after="40" w:line="264" w:lineRule="auto"/>
      </w:pPr>
      <w:r>
        <w:rPr>
          <w:rFonts w:ascii="Calibri" w:hAnsi="Calibri"/>
          <w:b/>
          <w:color w:val="000000"/>
        </w:rPr>
        <w:t xml:space="preserve">Date de simulation : </w:t>
      </w:r>
      <w:r>
        <w:rPr>
          <w:rFonts w:ascii="Calibri" w:hAnsi="Calibri"/>
          <w:color w:val="000000"/>
        </w:rPr>
        <w:t>3 juin 2026</w:t>
      </w:r>
    </w:p>
    <w:p>
      <w:pPr>
        <w:spacing w:after="40" w:line="264" w:lineRule="auto"/>
      </w:pPr>
      <w:r>
        <w:rPr>
          <w:rFonts w:ascii="Calibri" w:hAnsi="Calibri"/>
          <w:b/>
          <w:color w:val="000000"/>
        </w:rPr>
        <w:t xml:space="preserve">Niveau attendu : </w:t>
      </w:r>
      <w:r>
        <w:rPr>
          <w:rFonts w:ascii="Calibri" w:hAnsi="Calibri"/>
          <w:color w:val="000000"/>
        </w:rPr>
        <w:t>Assistante IA mi-temps, niveau consultant expert Big Five</w:t>
      </w:r>
    </w:p>
    <w:p>
      <w:pPr>
        <w:spacing w:after="80" w:line="264" w:lineRule="auto"/>
      </w:pP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rFonts w:ascii="Calibri" w:hAnsi="Calibri"/>
                <w:b/>
                <w:color w:val="0B2545"/>
                <w:sz w:val="23"/>
              </w:rPr>
              <w:t>Lecture executive - ce que vous pouvez exploiter des maintenant</w:t>
              <w:br/>
            </w:r>
            <w:r>
              <w:rPr>
                <w:rFonts w:ascii="Calibri" w:hAnsi="Calibri"/>
                <w:color w:val="000000"/>
                <w:sz w:val="21"/>
              </w:rPr>
              <w:t>Ce rapport simule le travail d'une assistante senior ayant consacre plusieurs heures a rechercher, filtrer, comparer et qualifier les signaux utiles pour Michael ASSAYAG. La selection ci-dessous n'est pas une compilation de liens : elle privilegie les contenus et opportunites qui peuvent nourrir une discussion client, une offre commerciale ou une prise de parole LinkedIn. Le marche confirme un basculement : les agents IA deviennent un sujet d'organisation, pas seulement d'outillage. L'angle commercial le plus fort est de vendre du cadrage, de la priorisation et de l'adoption mesuree.</w:t>
            </w:r>
          </w:p>
        </w:tc>
      </w:tr>
    </w:tbl>
    <w:p>
      <w:pPr>
        <w:spacing w:after="120" w:line="264" w:lineRule="auto"/>
      </w:pPr>
    </w:p>
    <w:p>
      <w:pPr>
        <w:pStyle w:val="Heading1"/>
        <w:spacing w:line="264" w:lineRule="auto"/>
      </w:pPr>
      <w:r>
        <w:rPr>
          <w:rFonts w:ascii="Calibri" w:hAnsi="Calibri"/>
          <w:b w:val="0"/>
          <w:i w:val="0"/>
        </w:rPr>
        <w:t>1. Methode de selection et tableau de bord</w:t>
      </w:r>
    </w:p>
    <w:p>
      <w:pPr>
        <w:pStyle w:val="Heading2"/>
        <w:spacing w:line="264" w:lineRule="auto"/>
      </w:pPr>
      <w:r>
        <w:rPr>
          <w:rFonts w:ascii="Calibri" w:hAnsi="Calibri"/>
          <w:b w:val="0"/>
          <w:i w:val="0"/>
        </w:rPr>
        <w:t>Methode de travail appliquee</w:t>
      </w:r>
    </w:p>
    <w:p>
      <w:pPr>
        <w:pStyle w:val="ListBullet"/>
        <w:spacing w:after="80"/>
        <w:ind w:left="360"/>
      </w:pPr>
      <w:r>
        <w:rPr>
          <w:rFonts w:ascii="Calibri" w:hAnsi="Calibri"/>
          <w:sz w:val="21"/>
        </w:rPr>
        <w:t>Recherche large : veille IA, agents IA, product management, agile, transformation digitale et plateformes freelance.</w:t>
      </w:r>
    </w:p>
    <w:p>
      <w:pPr>
        <w:pStyle w:val="ListBullet"/>
        <w:spacing w:after="80"/>
        <w:ind w:left="360"/>
      </w:pPr>
      <w:r>
        <w:rPr>
          <w:rFonts w:ascii="Calibri" w:hAnsi="Calibri"/>
          <w:sz w:val="21"/>
        </w:rPr>
        <w:t>Filtrage qualitatif : exclusion des contenus trop promotionnels, non dates, redondants ou faiblement actionnables.</w:t>
      </w:r>
    </w:p>
    <w:p>
      <w:pPr>
        <w:pStyle w:val="ListBullet"/>
        <w:spacing w:after="80"/>
        <w:ind w:left="360"/>
      </w:pPr>
      <w:r>
        <w:rPr>
          <w:rFonts w:ascii="Calibri" w:hAnsi="Calibri"/>
          <w:sz w:val="21"/>
        </w:rPr>
        <w:t>Scoring : pertinence business, credibilite de la source, fraicheur, potentiel commercial, capacite a nourrir un post LinkedIn ou un rendez-vous client.</w:t>
      </w:r>
    </w:p>
    <w:p>
      <w:pPr>
        <w:pStyle w:val="ListBullet"/>
        <w:spacing w:after="80"/>
        <w:ind w:left="360"/>
      </w:pPr>
      <w:r>
        <w:rPr>
          <w:rFonts w:ascii="Calibri" w:hAnsi="Calibri"/>
          <w:sz w:val="21"/>
        </w:rPr>
        <w:t>Arbitrage final : seuls les signaux convertibles en action commerciale, offre, conversation client ou apprentissage methodologique ont ete retenus.</w:t>
      </w:r>
    </w:p>
    <w:p>
      <w:pPr>
        <w:pStyle w:val="Heading2"/>
        <w:spacing w:line="264" w:lineRule="auto"/>
      </w:pPr>
      <w:r>
        <w:rPr>
          <w:rFonts w:ascii="Calibri" w:hAnsi="Calibri"/>
          <w:b w:val="0"/>
          <w:i w:val="0"/>
        </w:rPr>
        <w:t>Tableau de bord des signaux</w:t>
      </w:r>
    </w:p>
    <w:tbl>
      <w:tblPr>
        <w:tblW w:type="dxa" w:w="9360"/>
        <w:jc w:val="center"/>
        <w:tblLayout w:type="fixed"/>
        <w:tblLook w:firstColumn="1" w:firstRow="1" w:lastColumn="0" w:lastRow="0" w:noHBand="0" w:noVBand="1" w:val="04A0"/>
      </w:tblPr>
      <w:tblGrid>
        <w:gridCol w:w="2088"/>
        <w:gridCol w:w="2880"/>
        <w:gridCol w:w="3240"/>
        <w:gridCol w:w="1152"/>
      </w:tblGrid>
      <w:tr>
        <w:tc>
          <w:tcPr>
            <w:tcW w:type="dxa" w:w="2088"/>
            <w:shd w:fill="E8EEF5"/>
            <w:tcMar>
              <w:top w:w="80" w:type="dxa"/>
              <w:start w:w="120" w:type="dxa"/>
              <w:bottom w:w="80" w:type="dxa"/>
              <w:end w:w="120" w:type="dxa"/>
            </w:tcMar>
            <w:vAlign w:val="center"/>
          </w:tcPr>
          <w:p>
            <w:r>
              <w:rPr>
                <w:rFonts w:ascii="Calibri" w:hAnsi="Calibri"/>
                <w:b/>
                <w:color w:val="0B2545"/>
                <w:sz w:val="19"/>
              </w:rPr>
              <w:t>Signal</w:t>
            </w:r>
          </w:p>
        </w:tc>
        <w:tc>
          <w:tcPr>
            <w:tcW w:type="dxa" w:w="2880"/>
            <w:shd w:fill="E8EEF5"/>
            <w:tcMar>
              <w:top w:w="80" w:type="dxa"/>
              <w:start w:w="120" w:type="dxa"/>
              <w:bottom w:w="80" w:type="dxa"/>
              <w:end w:w="120" w:type="dxa"/>
            </w:tcMar>
            <w:vAlign w:val="center"/>
          </w:tcPr>
          <w:p>
            <w:r>
              <w:rPr>
                <w:rFonts w:ascii="Calibri" w:hAnsi="Calibri"/>
                <w:b/>
                <w:color w:val="0B2545"/>
                <w:sz w:val="19"/>
              </w:rPr>
              <w:t>Impact SASU</w:t>
            </w:r>
          </w:p>
        </w:tc>
        <w:tc>
          <w:tcPr>
            <w:tcW w:type="dxa" w:w="3240"/>
            <w:shd w:fill="E8EEF5"/>
            <w:tcMar>
              <w:top w:w="80" w:type="dxa"/>
              <w:start w:w="120" w:type="dxa"/>
              <w:bottom w:w="80" w:type="dxa"/>
              <w:end w:w="120" w:type="dxa"/>
            </w:tcMar>
            <w:vAlign w:val="center"/>
          </w:tcPr>
          <w:p>
            <w:r>
              <w:rPr>
                <w:rFonts w:ascii="Calibri" w:hAnsi="Calibri"/>
                <w:b/>
                <w:color w:val="0B2545"/>
                <w:sz w:val="19"/>
              </w:rPr>
              <w:t>Action conseillee</w:t>
            </w:r>
          </w:p>
        </w:tc>
        <w:tc>
          <w:tcPr>
            <w:tcW w:type="dxa" w:w="1152"/>
            <w:shd w:fill="E8EEF5"/>
            <w:tcMar>
              <w:top w:w="80" w:type="dxa"/>
              <w:start w:w="120" w:type="dxa"/>
              <w:bottom w:w="80" w:type="dxa"/>
              <w:end w:w="120" w:type="dxa"/>
            </w:tcMar>
            <w:vAlign w:val="center"/>
          </w:tcPr>
          <w:p>
            <w:r>
              <w:rPr>
                <w:rFonts w:ascii="Calibri" w:hAnsi="Calibri"/>
                <w:b/>
                <w:color w:val="0B2545"/>
                <w:sz w:val="19"/>
              </w:rPr>
              <w:t>Priorite</w:t>
            </w:r>
          </w:p>
        </w:tc>
      </w:tr>
      <w:tr>
        <w:tc>
          <w:tcPr>
            <w:tcW w:type="dxa" w:w="2088"/>
            <w:tcMar>
              <w:top w:w="80" w:type="dxa"/>
              <w:start w:w="120" w:type="dxa"/>
              <w:bottom w:w="80" w:type="dxa"/>
              <w:end w:w="120" w:type="dxa"/>
            </w:tcMar>
            <w:vAlign w:val="center"/>
          </w:tcPr>
          <w:p>
            <w:r>
              <w:rPr>
                <w:rFonts w:ascii="Calibri" w:hAnsi="Calibri"/>
                <w:sz w:val="18"/>
              </w:rPr>
              <w:t>Agents IA metier</w:t>
            </w:r>
          </w:p>
        </w:tc>
        <w:tc>
          <w:tcPr>
            <w:tcW w:type="dxa" w:w="2880"/>
            <w:tcMar>
              <w:top w:w="80" w:type="dxa"/>
              <w:start w:w="120" w:type="dxa"/>
              <w:bottom w:w="80" w:type="dxa"/>
              <w:end w:w="120" w:type="dxa"/>
            </w:tcMar>
            <w:vAlign w:val="center"/>
          </w:tcPr>
          <w:p>
            <w:r>
              <w:rPr>
                <w:rFonts w:ascii="Calibri" w:hAnsi="Calibri"/>
                <w:sz w:val="18"/>
              </w:rPr>
              <w:t>Forte demande de cadrage et gouvernance</w:t>
            </w:r>
          </w:p>
        </w:tc>
        <w:tc>
          <w:tcPr>
            <w:tcW w:type="dxa" w:w="3240"/>
            <w:tcMar>
              <w:top w:w="80" w:type="dxa"/>
              <w:start w:w="120" w:type="dxa"/>
              <w:bottom w:w="80" w:type="dxa"/>
              <w:end w:w="120" w:type="dxa"/>
            </w:tcMar>
            <w:vAlign w:val="center"/>
          </w:tcPr>
          <w:p>
            <w:r>
              <w:rPr>
                <w:rFonts w:ascii="Calibri" w:hAnsi="Calibri"/>
                <w:sz w:val="18"/>
              </w:rPr>
              <w:t>Packager une offre audit + pilote</w:t>
            </w:r>
          </w:p>
        </w:tc>
        <w:tc>
          <w:tcPr>
            <w:tcW w:type="dxa" w:w="1152"/>
            <w:tcMar>
              <w:top w:w="80" w:type="dxa"/>
              <w:start w:w="120" w:type="dxa"/>
              <w:bottom w:w="80" w:type="dxa"/>
              <w:end w:w="120" w:type="dxa"/>
            </w:tcMar>
            <w:vAlign w:val="center"/>
          </w:tcPr>
          <w:p>
            <w:r>
              <w:rPr>
                <w:rFonts w:ascii="Calibri" w:hAnsi="Calibri"/>
                <w:sz w:val="18"/>
              </w:rPr>
              <w:t>Haute</w:t>
            </w:r>
          </w:p>
        </w:tc>
      </w:tr>
      <w:tr>
        <w:tc>
          <w:tcPr>
            <w:tcW w:type="dxa" w:w="2088"/>
            <w:tcMar>
              <w:top w:w="80" w:type="dxa"/>
              <w:start w:w="120" w:type="dxa"/>
              <w:bottom w:w="80" w:type="dxa"/>
              <w:end w:w="120" w:type="dxa"/>
            </w:tcMar>
            <w:vAlign w:val="center"/>
          </w:tcPr>
          <w:p>
            <w:r>
              <w:rPr>
                <w:rFonts w:ascii="Calibri" w:hAnsi="Calibri"/>
                <w:sz w:val="18"/>
              </w:rPr>
              <w:t>Product Operating Model</w:t>
            </w:r>
          </w:p>
        </w:tc>
        <w:tc>
          <w:tcPr>
            <w:tcW w:type="dxa" w:w="2880"/>
            <w:tcMar>
              <w:top w:w="80" w:type="dxa"/>
              <w:start w:w="120" w:type="dxa"/>
              <w:bottom w:w="80" w:type="dxa"/>
              <w:end w:w="120" w:type="dxa"/>
            </w:tcMar>
            <w:vAlign w:val="center"/>
          </w:tcPr>
          <w:p>
            <w:r>
              <w:rPr>
                <w:rFonts w:ascii="Calibri" w:hAnsi="Calibri"/>
                <w:sz w:val="18"/>
              </w:rPr>
              <w:t>Retour du product management comme systeme de decision</w:t>
            </w:r>
          </w:p>
        </w:tc>
        <w:tc>
          <w:tcPr>
            <w:tcW w:type="dxa" w:w="3240"/>
            <w:tcMar>
              <w:top w:w="80" w:type="dxa"/>
              <w:start w:w="120" w:type="dxa"/>
              <w:bottom w:w="80" w:type="dxa"/>
              <w:end w:w="120" w:type="dxa"/>
            </w:tcMar>
            <w:vAlign w:val="center"/>
          </w:tcPr>
          <w:p>
            <w:r>
              <w:rPr>
                <w:rFonts w:ascii="Calibri" w:hAnsi="Calibri"/>
                <w:sz w:val="18"/>
              </w:rPr>
              <w:t>Publier une analyse LinkedIn</w:t>
            </w:r>
          </w:p>
        </w:tc>
        <w:tc>
          <w:tcPr>
            <w:tcW w:type="dxa" w:w="1152"/>
            <w:tcMar>
              <w:top w:w="80" w:type="dxa"/>
              <w:start w:w="120" w:type="dxa"/>
              <w:bottom w:w="80" w:type="dxa"/>
              <w:end w:w="120" w:type="dxa"/>
            </w:tcMar>
            <w:vAlign w:val="center"/>
          </w:tcPr>
          <w:p>
            <w:r>
              <w:rPr>
                <w:rFonts w:ascii="Calibri" w:hAnsi="Calibri"/>
                <w:sz w:val="18"/>
              </w:rPr>
              <w:t>Haute</w:t>
            </w:r>
          </w:p>
        </w:tc>
      </w:tr>
      <w:tr>
        <w:tc>
          <w:tcPr>
            <w:tcW w:type="dxa" w:w="2088"/>
            <w:tcMar>
              <w:top w:w="80" w:type="dxa"/>
              <w:start w:w="120" w:type="dxa"/>
              <w:bottom w:w="80" w:type="dxa"/>
              <w:end w:w="120" w:type="dxa"/>
            </w:tcMar>
            <w:vAlign w:val="center"/>
          </w:tcPr>
          <w:p>
            <w:r>
              <w:rPr>
                <w:rFonts w:ascii="Calibri" w:hAnsi="Calibri"/>
                <w:sz w:val="18"/>
              </w:rPr>
              <w:t>Agile recentre sur valeur</w:t>
            </w:r>
          </w:p>
        </w:tc>
        <w:tc>
          <w:tcPr>
            <w:tcW w:type="dxa" w:w="2880"/>
            <w:tcMar>
              <w:top w:w="80" w:type="dxa"/>
              <w:start w:w="120" w:type="dxa"/>
              <w:bottom w:w="80" w:type="dxa"/>
              <w:end w:w="120" w:type="dxa"/>
            </w:tcMar>
            <w:vAlign w:val="center"/>
          </w:tcPr>
          <w:p>
            <w:r>
              <w:rPr>
                <w:rFonts w:ascii="Calibri" w:hAnsi="Calibri"/>
                <w:sz w:val="18"/>
              </w:rPr>
              <w:t>Besoin de coaching pragmatique, moins ceremoniel</w:t>
            </w:r>
          </w:p>
        </w:tc>
        <w:tc>
          <w:tcPr>
            <w:tcW w:type="dxa" w:w="3240"/>
            <w:tcMar>
              <w:top w:w="80" w:type="dxa"/>
              <w:start w:w="120" w:type="dxa"/>
              <w:bottom w:w="80" w:type="dxa"/>
              <w:end w:w="120" w:type="dxa"/>
            </w:tcMar>
            <w:vAlign w:val="center"/>
          </w:tcPr>
          <w:p>
            <w:r>
              <w:rPr>
                <w:rFonts w:ascii="Calibri" w:hAnsi="Calibri"/>
                <w:sz w:val="18"/>
              </w:rPr>
              <w:t>Vendre des diagnostics delivery</w:t>
            </w:r>
          </w:p>
        </w:tc>
        <w:tc>
          <w:tcPr>
            <w:tcW w:type="dxa" w:w="1152"/>
            <w:tcMar>
              <w:top w:w="80" w:type="dxa"/>
              <w:start w:w="120" w:type="dxa"/>
              <w:bottom w:w="80" w:type="dxa"/>
              <w:end w:w="120" w:type="dxa"/>
            </w:tcMar>
            <w:vAlign w:val="center"/>
          </w:tcPr>
          <w:p>
            <w:r>
              <w:rPr>
                <w:rFonts w:ascii="Calibri" w:hAnsi="Calibri"/>
                <w:sz w:val="18"/>
              </w:rPr>
              <w:t>Moyenne</w:t>
            </w:r>
          </w:p>
        </w:tc>
      </w:tr>
      <w:tr>
        <w:tc>
          <w:tcPr>
            <w:tcW w:type="dxa" w:w="2088"/>
            <w:tcMar>
              <w:top w:w="80" w:type="dxa"/>
              <w:start w:w="120" w:type="dxa"/>
              <w:bottom w:w="80" w:type="dxa"/>
              <w:end w:w="120" w:type="dxa"/>
            </w:tcMar>
            <w:vAlign w:val="center"/>
          </w:tcPr>
          <w:p>
            <w:r>
              <w:rPr>
                <w:rFonts w:ascii="Calibri" w:hAnsi="Calibri"/>
                <w:sz w:val="18"/>
              </w:rPr>
              <w:t>Missions IA freelance</w:t>
            </w:r>
          </w:p>
        </w:tc>
        <w:tc>
          <w:tcPr>
            <w:tcW w:type="dxa" w:w="2880"/>
            <w:tcMar>
              <w:top w:w="80" w:type="dxa"/>
              <w:start w:w="120" w:type="dxa"/>
              <w:bottom w:w="80" w:type="dxa"/>
              <w:end w:w="120" w:type="dxa"/>
            </w:tcMar>
            <w:vAlign w:val="center"/>
          </w:tcPr>
          <w:p>
            <w:r>
              <w:rPr>
                <w:rFonts w:ascii="Calibri" w:hAnsi="Calibri"/>
                <w:sz w:val="18"/>
              </w:rPr>
              <w:t>TJM visible autour de 550-630 EUR/j sur quelques offres</w:t>
            </w:r>
          </w:p>
        </w:tc>
        <w:tc>
          <w:tcPr>
            <w:tcW w:type="dxa" w:w="3240"/>
            <w:tcMar>
              <w:top w:w="80" w:type="dxa"/>
              <w:start w:w="120" w:type="dxa"/>
              <w:bottom w:w="80" w:type="dxa"/>
              <w:end w:w="120" w:type="dxa"/>
            </w:tcMar>
            <w:vAlign w:val="center"/>
          </w:tcPr>
          <w:p>
            <w:r>
              <w:rPr>
                <w:rFonts w:ascii="Calibri" w:hAnsi="Calibri"/>
                <w:sz w:val="18"/>
              </w:rPr>
              <w:t>Repondre sous 24h aux offres ciblees</w:t>
            </w:r>
          </w:p>
        </w:tc>
        <w:tc>
          <w:tcPr>
            <w:tcW w:type="dxa" w:w="1152"/>
            <w:tcMar>
              <w:top w:w="80" w:type="dxa"/>
              <w:start w:w="120" w:type="dxa"/>
              <w:bottom w:w="80" w:type="dxa"/>
              <w:end w:w="120" w:type="dxa"/>
            </w:tcMar>
            <w:vAlign w:val="center"/>
          </w:tcPr>
          <w:p>
            <w:r>
              <w:rPr>
                <w:rFonts w:ascii="Calibri" w:hAnsi="Calibri"/>
                <w:sz w:val="18"/>
              </w:rPr>
              <w:t>Haute</w:t>
            </w:r>
          </w:p>
        </w:tc>
      </w:tr>
    </w:tbl>
    <w:p>
      <w:pPr>
        <w:pStyle w:val="Heading1"/>
        <w:spacing w:line="264" w:lineRule="auto"/>
      </w:pPr>
      <w:r>
        <w:rPr>
          <w:rFonts w:ascii="Calibri" w:hAnsi="Calibri"/>
          <w:b w:val="0"/>
          <w:i w:val="0"/>
        </w:rPr>
        <w:t>2. Veille technologique et contenus professionnels</w:t>
      </w:r>
    </w:p>
    <w:p>
      <w:pPr>
        <w:pStyle w:val="Heading3"/>
        <w:keepNext/>
        <w:spacing w:line="264" w:lineRule="auto"/>
      </w:pPr>
      <w:r>
        <w:rPr>
          <w:rFonts w:ascii="Calibri" w:hAnsi="Calibri"/>
          <w:b w:val="0"/>
          <w:i w:val="0"/>
        </w:rPr>
        <w:t>1. Codex for every role, tool, and workflow</w:t>
      </w:r>
    </w:p>
    <w:p>
      <w:pPr>
        <w:spacing w:after="40" w:line="264" w:lineRule="auto"/>
      </w:pPr>
      <w:r>
        <w:rPr>
          <w:rFonts w:ascii="Calibri" w:hAnsi="Calibri"/>
          <w:b/>
          <w:color w:val="565F6C"/>
          <w:sz w:val="19"/>
        </w:rPr>
        <w:t xml:space="preserve">Source : OpenAI | Date : 2 juin 2026 | Score : 9.0/10 - Prioritaire | </w:t>
      </w:r>
      <w:hyperlink r:id="rId11">
        <w:r>
          <w:rPr>
            <w:color w:val="0563C1"/>
            <w:u w:val="single"/>
          </w:rPr>
          <w:t>Lien</w:t>
        </w:r>
      </w:hyperlink>
    </w:p>
    <w:p>
      <w:pPr>
        <w:pStyle w:val="ListBullet"/>
        <w:spacing w:after="80"/>
        <w:ind w:left="360"/>
      </w:pPr>
      <w:r>
        <w:rPr>
          <w:rFonts w:ascii="Calibri" w:hAnsi="Calibri"/>
          <w:sz w:val="21"/>
        </w:rPr>
        <w:t>Resume : OpenAI decrit Codex comme un agent capable d'aider au-dela du code : creation d'apps internes, analyses, dashboards et automatisation de taches. Le signal fort est le passage des agents IA vers les fonctions business et operations.</w:t>
      </w:r>
    </w:p>
    <w:p>
      <w:pPr>
        <w:pStyle w:val="ListBullet"/>
        <w:spacing w:after="80"/>
        <w:ind w:left="360"/>
      </w:pPr>
      <w:r>
        <w:rPr>
          <w:rFonts w:ascii="Calibri" w:hAnsi="Calibri"/>
          <w:sz w:val="21"/>
        </w:rPr>
        <w:t>Pourquoi cela doit t'interesser : Michael peut positionner son offre sur la transformation de besoins metiers en workflows IA concrets, avec pilotage produit et adoption.</w:t>
      </w:r>
    </w:p>
    <w:p>
      <w:pPr>
        <w:pStyle w:val="ListBullet"/>
        <w:spacing w:after="80"/>
        <w:ind w:left="360"/>
      </w:pPr>
      <w:r>
        <w:rPr>
          <w:rFonts w:ascii="Calibri" w:hAnsi="Calibri"/>
          <w:sz w:val="21"/>
        </w:rPr>
        <w:t>Recommandation : Creer une offre 'Agent IA metier en 10 jours' : cadrage cas d'usage, prototype, mesure de valeur, plan d'adoption.</w:t>
      </w:r>
    </w:p>
    <w:p>
      <w:pPr>
        <w:pStyle w:val="Heading3"/>
        <w:keepNext/>
        <w:spacing w:line="264" w:lineRule="auto"/>
      </w:pPr>
      <w:r>
        <w:rPr>
          <w:rFonts w:ascii="Calibri" w:hAnsi="Calibri"/>
          <w:b w:val="0"/>
          <w:i w:val="0"/>
        </w:rPr>
        <w:t>2. Seizing the agentic AI advantage</w:t>
      </w:r>
    </w:p>
    <w:p>
      <w:pPr>
        <w:spacing w:after="40" w:line="264" w:lineRule="auto"/>
      </w:pPr>
      <w:r>
        <w:rPr>
          <w:rFonts w:ascii="Calibri" w:hAnsi="Calibri"/>
          <w:b/>
          <w:color w:val="565F6C"/>
          <w:sz w:val="19"/>
        </w:rPr>
        <w:t xml:space="preserve">Source : McKinsey / QuantumBlack | Date : mai 2026 | Score : 8.5/10 - Prioritaire | </w:t>
      </w:r>
      <w:hyperlink r:id="rId12">
        <w:r>
          <w:rPr>
            <w:color w:val="0563C1"/>
            <w:u w:val="single"/>
          </w:rPr>
          <w:t>Lien</w:t>
        </w:r>
      </w:hyperlink>
    </w:p>
    <w:p>
      <w:pPr>
        <w:pStyle w:val="ListBullet"/>
        <w:spacing w:after="80"/>
        <w:ind w:left="360"/>
      </w:pPr>
      <w:r>
        <w:rPr>
          <w:rFonts w:ascii="Calibri" w:hAnsi="Calibri"/>
          <w:sz w:val="21"/>
        </w:rPr>
        <w:t>Resume : McKinsey insiste sur la necessite de passer des pilotes a des systemes IA agentiques integres, gouvernes et mesures. Le cabinet met l'accent sur les operating models, les risques, la valeur et le changement organisationnel.</w:t>
      </w:r>
    </w:p>
    <w:p>
      <w:pPr>
        <w:pStyle w:val="ListBullet"/>
        <w:spacing w:after="80"/>
        <w:ind w:left="360"/>
      </w:pPr>
      <w:r>
        <w:rPr>
          <w:rFonts w:ascii="Calibri" w:hAnsi="Calibri"/>
          <w:sz w:val="21"/>
        </w:rPr>
        <w:t>Pourquoi cela doit t'interesser : Tres bon support pour vendre de la gouvernance et du ROI, au lieu d'une simple experimentation IA.</w:t>
      </w:r>
    </w:p>
    <w:p>
      <w:pPr>
        <w:pStyle w:val="ListBullet"/>
        <w:spacing w:after="80"/>
        <w:ind w:left="360"/>
      </w:pPr>
      <w:r>
        <w:rPr>
          <w:rFonts w:ascii="Calibri" w:hAnsi="Calibri"/>
          <w:sz w:val="21"/>
        </w:rPr>
        <w:t>Recommandation : Construire une grille de maturite 'agentic AI readiness' a utiliser en rendez-vous de prospection.</w:t>
      </w:r>
    </w:p>
    <w:p>
      <w:pPr>
        <w:pStyle w:val="Heading3"/>
        <w:keepNext/>
        <w:spacing w:line="264" w:lineRule="auto"/>
      </w:pPr>
      <w:r>
        <w:rPr>
          <w:rFonts w:ascii="Calibri" w:hAnsi="Calibri"/>
          <w:b w:val="0"/>
          <w:i w:val="0"/>
        </w:rPr>
        <w:t>3. Team '26: Meet the AI-Native Organization</w:t>
      </w:r>
    </w:p>
    <w:p>
      <w:pPr>
        <w:spacing w:after="40" w:line="264" w:lineRule="auto"/>
      </w:pPr>
      <w:r>
        <w:rPr>
          <w:rFonts w:ascii="Calibri" w:hAnsi="Calibri"/>
          <w:b/>
          <w:color w:val="565F6C"/>
          <w:sz w:val="19"/>
        </w:rPr>
        <w:t xml:space="preserve">Source : Atlassian | Date : 6 mai 2026 | Score : 8.0/10 - A exploiter | </w:t>
      </w:r>
      <w:hyperlink r:id="rId13">
        <w:r>
          <w:rPr>
            <w:color w:val="0563C1"/>
            <w:u w:val="single"/>
          </w:rPr>
          <w:t>Lien</w:t>
        </w:r>
      </w:hyperlink>
    </w:p>
    <w:p>
      <w:pPr>
        <w:pStyle w:val="ListBullet"/>
        <w:spacing w:after="80"/>
        <w:ind w:left="360"/>
      </w:pPr>
      <w:r>
        <w:rPr>
          <w:rFonts w:ascii="Calibri" w:hAnsi="Calibri"/>
          <w:sz w:val="21"/>
        </w:rPr>
        <w:t>Resume : Atlassian presente Rovo, Teamwork Graph et des agents connectes aux connaissances d'entreprise. L'enjeu n'est pas le chatbot, mais l'orchestration des decisions, tickets, documents et connaissances.</w:t>
      </w:r>
    </w:p>
    <w:p>
      <w:pPr>
        <w:pStyle w:val="ListBullet"/>
        <w:spacing w:after="80"/>
        <w:ind w:left="360"/>
      </w:pPr>
      <w:r>
        <w:rPr>
          <w:rFonts w:ascii="Calibri" w:hAnsi="Calibri"/>
          <w:sz w:val="21"/>
        </w:rPr>
        <w:t>Pourquoi cela doit t'interesser : Les clients cibles travaillent deja avec Jira, Confluence ou des equivalents. L'IA devient une couche de coordination du travail.</w:t>
      </w:r>
    </w:p>
    <w:p>
      <w:pPr>
        <w:pStyle w:val="ListBullet"/>
        <w:spacing w:after="80"/>
        <w:ind w:left="360"/>
      </w:pPr>
      <w:r>
        <w:rPr>
          <w:rFonts w:ascii="Calibri" w:hAnsi="Calibri"/>
          <w:sz w:val="21"/>
        </w:rPr>
        <w:t>Recommandation : Proposer un audit Jira/Confluence + IA : comment reduire le bruit, accelerer les arbitrages et fiabiliser le delivery.</w:t>
      </w:r>
    </w:p>
    <w:p>
      <w:pPr>
        <w:pStyle w:val="Heading3"/>
        <w:keepNext/>
        <w:spacing w:line="264" w:lineRule="auto"/>
      </w:pPr>
      <w:r>
        <w:rPr>
          <w:rFonts w:ascii="Calibri" w:hAnsi="Calibri"/>
          <w:b w:val="0"/>
          <w:i w:val="0"/>
        </w:rPr>
        <w:t>4. The 2026 State of Product Management</w:t>
      </w:r>
    </w:p>
    <w:p>
      <w:pPr>
        <w:spacing w:after="40" w:line="264" w:lineRule="auto"/>
      </w:pPr>
      <w:r>
        <w:rPr>
          <w:rFonts w:ascii="Calibri" w:hAnsi="Calibri"/>
          <w:b/>
          <w:color w:val="565F6C"/>
          <w:sz w:val="19"/>
        </w:rPr>
        <w:t xml:space="preserve">Source : ProductPlan | Date : 2026 | Score : 7.8/10 - A exploiter | </w:t>
      </w:r>
      <w:hyperlink r:id="rId14">
        <w:r>
          <w:rPr>
            <w:color w:val="0563C1"/>
            <w:u w:val="single"/>
          </w:rPr>
          <w:t>Lien</w:t>
        </w:r>
      </w:hyperlink>
    </w:p>
    <w:p>
      <w:pPr>
        <w:pStyle w:val="ListBullet"/>
        <w:spacing w:after="80"/>
        <w:ind w:left="360"/>
      </w:pPr>
      <w:r>
        <w:rPr>
          <w:rFonts w:ascii="Calibri" w:hAnsi="Calibri"/>
          <w:sz w:val="21"/>
        </w:rPr>
        <w:t>Resume : Le rapport met en avant l'evolution du role PM : pression sur la valeur, adoption IA, priorisation plus exigeante et coordination renforcee entre strategie et execution.</w:t>
      </w:r>
    </w:p>
    <w:p>
      <w:pPr>
        <w:pStyle w:val="ListBullet"/>
        <w:spacing w:after="80"/>
        <w:ind w:left="360"/>
      </w:pPr>
      <w:r>
        <w:rPr>
          <w:rFonts w:ascii="Calibri" w:hAnsi="Calibri"/>
          <w:sz w:val="21"/>
        </w:rPr>
        <w:t>Pourquoi cela doit t'interesser : Source utile pour nourrir un discours Product Leadership et objectiver les tendances du metier.</w:t>
      </w:r>
    </w:p>
    <w:p>
      <w:pPr>
        <w:pStyle w:val="ListBullet"/>
        <w:spacing w:after="80"/>
        <w:ind w:left="360"/>
      </w:pPr>
      <w:r>
        <w:rPr>
          <w:rFonts w:ascii="Calibri" w:hAnsi="Calibri"/>
          <w:sz w:val="21"/>
        </w:rPr>
        <w:t>Recommandation : En faire un post LinkedIn : 'Le PM 2026 n'est pas un gardien de backlog, c'est un designer de decisions'.</w:t>
      </w:r>
    </w:p>
    <w:p>
      <w:pPr>
        <w:pStyle w:val="Heading3"/>
        <w:keepNext/>
        <w:spacing w:line="264" w:lineRule="auto"/>
      </w:pPr>
      <w:r>
        <w:rPr>
          <w:rFonts w:ascii="Calibri" w:hAnsi="Calibri"/>
          <w:b w:val="0"/>
          <w:i w:val="0"/>
        </w:rPr>
        <w:t>5. Continuous Discovery Habits / Opportunity Solution Tree</w:t>
      </w:r>
    </w:p>
    <w:p>
      <w:pPr>
        <w:spacing w:after="40" w:line="264" w:lineRule="auto"/>
      </w:pPr>
      <w:r>
        <w:rPr>
          <w:rFonts w:ascii="Calibri" w:hAnsi="Calibri"/>
          <w:b/>
          <w:color w:val="565F6C"/>
          <w:sz w:val="19"/>
        </w:rPr>
        <w:t xml:space="preserve">Source : Product Talk - Teresa Torres | Date : reference methode | Score : 8.2/10 - A exploiter | </w:t>
      </w:r>
      <w:hyperlink r:id="rId15">
        <w:r>
          <w:rPr>
            <w:color w:val="0563C1"/>
            <w:u w:val="single"/>
          </w:rPr>
          <w:t>Lien</w:t>
        </w:r>
      </w:hyperlink>
    </w:p>
    <w:p>
      <w:pPr>
        <w:pStyle w:val="ListBullet"/>
        <w:spacing w:after="80"/>
        <w:ind w:left="360"/>
      </w:pPr>
      <w:r>
        <w:rPr>
          <w:rFonts w:ascii="Calibri" w:hAnsi="Calibri"/>
          <w:sz w:val="21"/>
        </w:rPr>
        <w:t>Resume : L'Opportunity Solution Tree structure la discovery autour d'un outcome, des opportunites clients, des solutions candidates et des tests. C'est un excellent antidote aux roadmaps d'opinions.</w:t>
      </w:r>
    </w:p>
    <w:p>
      <w:pPr>
        <w:pStyle w:val="ListBullet"/>
        <w:spacing w:after="80"/>
        <w:ind w:left="360"/>
      </w:pPr>
      <w:r>
        <w:rPr>
          <w:rFonts w:ascii="Calibri" w:hAnsi="Calibri"/>
          <w:sz w:val="21"/>
        </w:rPr>
        <w:t>Pourquoi cela doit t'interesser : Methode tres vendable pour les missions Product : transformer des idees floues en opportunites, hypotheses et experiments.</w:t>
      </w:r>
    </w:p>
    <w:p>
      <w:pPr>
        <w:pStyle w:val="ListBullet"/>
        <w:spacing w:after="80"/>
        <w:ind w:left="360"/>
      </w:pPr>
      <w:r>
        <w:rPr>
          <w:rFonts w:ascii="Calibri" w:hAnsi="Calibri"/>
          <w:sz w:val="21"/>
        </w:rPr>
        <w:t>Recommandation : Integrer un atelier OST de 2h dans ton offre de cadrage produit ou IA.</w:t>
      </w:r>
    </w:p>
    <w:p>
      <w:pPr>
        <w:pStyle w:val="Heading3"/>
        <w:keepNext/>
        <w:spacing w:line="264" w:lineRule="auto"/>
      </w:pPr>
      <w:r>
        <w:rPr>
          <w:rFonts w:ascii="Calibri" w:hAnsi="Calibri"/>
          <w:b w:val="0"/>
          <w:i w:val="0"/>
        </w:rPr>
        <w:t>6. Scrum Guide - Product Goal et accountability Product Owner</w:t>
      </w:r>
    </w:p>
    <w:p>
      <w:pPr>
        <w:spacing w:after="40" w:line="264" w:lineRule="auto"/>
      </w:pPr>
      <w:r>
        <w:rPr>
          <w:rFonts w:ascii="Calibri" w:hAnsi="Calibri"/>
          <w:b/>
          <w:color w:val="565F6C"/>
          <w:sz w:val="19"/>
        </w:rPr>
        <w:t xml:space="preserve">Source : Scrum.org | Date : Guide officiel 2020, toujours reference | Score : 7.6/10 - A exploiter | </w:t>
      </w:r>
      <w:hyperlink r:id="rId16">
        <w:r>
          <w:rPr>
            <w:color w:val="0563C1"/>
            <w:u w:val="single"/>
          </w:rPr>
          <w:t>Lien</w:t>
        </w:r>
      </w:hyperlink>
    </w:p>
    <w:p>
      <w:pPr>
        <w:pStyle w:val="ListBullet"/>
        <w:spacing w:after="80"/>
        <w:ind w:left="360"/>
      </w:pPr>
      <w:r>
        <w:rPr>
          <w:rFonts w:ascii="Calibri" w:hAnsi="Calibri"/>
          <w:sz w:val="21"/>
        </w:rPr>
        <w:t>Resume : Le Scrum Guide recentre Scrum sur les engagements : Product Goal, Sprint Goal, Definition of Done. C'est une base solide pour challenger les rituels sans valeur.</w:t>
      </w:r>
    </w:p>
    <w:p>
      <w:pPr>
        <w:pStyle w:val="ListBullet"/>
        <w:spacing w:after="80"/>
        <w:ind w:left="360"/>
      </w:pPr>
      <w:r>
        <w:rPr>
          <w:rFonts w:ascii="Calibri" w:hAnsi="Calibri"/>
          <w:sz w:val="21"/>
        </w:rPr>
        <w:t>Pourquoi cela doit t'interesser : Utile pour remettre de la clarte dans les organisations agiles fatiguees : objectif produit, valeur, accountability.</w:t>
      </w:r>
    </w:p>
    <w:p>
      <w:pPr>
        <w:pStyle w:val="ListBullet"/>
        <w:spacing w:after="80"/>
        <w:ind w:left="360"/>
      </w:pPr>
      <w:r>
        <w:rPr>
          <w:rFonts w:ascii="Calibri" w:hAnsi="Calibri"/>
          <w:sz w:val="21"/>
        </w:rPr>
        <w:t>Recommandation : Preparer un diagnostic 'Scrum theatre vs product outcomes' pour clients en transformation agile.</w:t>
      </w:r>
    </w:p>
    <w:p>
      <w:pPr>
        <w:pStyle w:val="Heading1"/>
        <w:spacing w:line="264" w:lineRule="auto"/>
      </w:pPr>
      <w:r>
        <w:rPr>
          <w:rFonts w:ascii="Calibri" w:hAnsi="Calibri"/>
          <w:b w:val="0"/>
          <w:i w:val="0"/>
        </w:rPr>
        <w:t>3. Prospection commerciale freelance</w:t>
      </w:r>
    </w:p>
    <w:p>
      <w:pPr>
        <w:pStyle w:val="Heading3"/>
        <w:spacing w:line="264" w:lineRule="auto"/>
      </w:pPr>
      <w:r>
        <w:rPr>
          <w:rFonts w:ascii="Calibri" w:hAnsi="Calibri"/>
          <w:b w:val="0"/>
          <w:i w:val="0"/>
        </w:rPr>
        <w:t>1. Product Owner IA senior - secteur bancaire</w:t>
      </w:r>
    </w:p>
    <w:p>
      <w:pPr>
        <w:spacing w:after="40" w:line="264" w:lineRule="auto"/>
      </w:pPr>
      <w:r>
        <w:rPr>
          <w:rFonts w:ascii="Calibri" w:hAnsi="Calibri"/>
          <w:b/>
          <w:color w:val="565F6C"/>
          <w:sz w:val="19"/>
        </w:rPr>
        <w:t xml:space="preserve">Plateforme/source : Esmoz / LinkedIn | Localisation : France, modalites a confirmer | Score : 9.0/10 | </w:t>
      </w:r>
      <w:hyperlink r:id="rId17">
        <w:r>
          <w:rPr>
            <w:color w:val="0563C1"/>
            <w:u w:val="single"/>
          </w:rPr>
          <w:t>Lien</w:t>
        </w:r>
      </w:hyperlink>
    </w:p>
    <w:p>
      <w:pPr>
        <w:pStyle w:val="ListBullet"/>
        <w:spacing w:after="80"/>
        <w:ind w:left="360"/>
      </w:pPr>
      <w:r>
        <w:rPr>
          <w:rFonts w:ascii="Calibri" w:hAnsi="Calibri"/>
          <w:sz w:val="21"/>
        </w:rPr>
        <w:t>Resume mission : Mission autour d'une roadmap IA client dans un contexte bancaire, avec cadrage, backlog, priorisation et coordination data/IT/metiers. TJM indique lors de la recherche : 550-630 EUR/j.</w:t>
      </w:r>
    </w:p>
    <w:p>
      <w:pPr>
        <w:pStyle w:val="ListBullet"/>
        <w:spacing w:after="80"/>
        <w:ind w:left="360"/>
      </w:pPr>
      <w:r>
        <w:rPr>
          <w:rFonts w:ascii="Calibri" w:hAnsi="Calibri"/>
          <w:sz w:val="21"/>
        </w:rPr>
        <w:t>Fit competences : Excellent alignement product, projet, IA et coordination transverse.</w:t>
      </w:r>
    </w:p>
    <w:p>
      <w:pPr>
        <w:pStyle w:val="ListBullet"/>
        <w:spacing w:after="80"/>
        <w:ind w:left="360"/>
      </w:pPr>
      <w:r>
        <w:rPr>
          <w:rFonts w:ascii="Calibri" w:hAnsi="Calibri"/>
          <w:sz w:val="21"/>
        </w:rPr>
        <w:t>Angles de reponse : Insister sur cadrage IA, priorisation valeur/complexite, animation metiers-tech, livraison incrementalisee.</w:t>
      </w:r>
    </w:p>
    <w:p>
      <w:pPr>
        <w:pStyle w:val="ListBullet"/>
        <w:spacing w:after="80"/>
        <w:ind w:left="360"/>
      </w:pPr>
      <w:r>
        <w:rPr>
          <w:rFonts w:ascii="Calibri" w:hAnsi="Calibri"/>
          <w:sz w:val="21"/>
        </w:rPr>
        <w:t>Decision : POSTULER</w:t>
      </w:r>
    </w:p>
    <w:p>
      <w:pPr>
        <w:pStyle w:val="Heading3"/>
        <w:spacing w:line="264" w:lineRule="auto"/>
      </w:pPr>
      <w:r>
        <w:rPr>
          <w:rFonts w:ascii="Calibri" w:hAnsi="Calibri"/>
          <w:b w:val="0"/>
          <w:i w:val="0"/>
        </w:rPr>
        <w:t>2. Chef de projet IA</w:t>
      </w:r>
    </w:p>
    <w:p>
      <w:pPr>
        <w:spacing w:after="40" w:line="264" w:lineRule="auto"/>
      </w:pPr>
      <w:r>
        <w:rPr>
          <w:rFonts w:ascii="Calibri" w:hAnsi="Calibri"/>
          <w:b/>
          <w:color w:val="565F6C"/>
          <w:sz w:val="19"/>
        </w:rPr>
        <w:t xml:space="preserve">Plateforme/source : Mindquest / Free-Work | Localisation : Issy-les-Moulineaux / 92 | Score : 8.0/10 | </w:t>
      </w:r>
      <w:hyperlink r:id="rId18">
        <w:r>
          <w:rPr>
            <w:color w:val="0563C1"/>
            <w:u w:val="single"/>
          </w:rPr>
          <w:t>Lien</w:t>
        </w:r>
      </w:hyperlink>
    </w:p>
    <w:p>
      <w:pPr>
        <w:pStyle w:val="ListBullet"/>
        <w:spacing w:after="80"/>
        <w:ind w:left="360"/>
      </w:pPr>
      <w:r>
        <w:rPr>
          <w:rFonts w:ascii="Calibri" w:hAnsi="Calibri"/>
          <w:sz w:val="21"/>
        </w:rPr>
        <w:t>Resume mission : Mission chef de projet IA demandant experience projet senior et exposition a des projets IA. Bon terrain pour un profil qui securise le delivery et les parties prenantes.</w:t>
      </w:r>
    </w:p>
    <w:p>
      <w:pPr>
        <w:pStyle w:val="ListBullet"/>
        <w:spacing w:after="80"/>
        <w:ind w:left="360"/>
      </w:pPr>
      <w:r>
        <w:rPr>
          <w:rFonts w:ascii="Calibri" w:hAnsi="Calibri"/>
          <w:sz w:val="21"/>
        </w:rPr>
        <w:t>Fit competences : Fit fort si tu veux te positionner comme chef d'orchestre IA plutot qu'expert technique pur.</w:t>
      </w:r>
    </w:p>
    <w:p>
      <w:pPr>
        <w:pStyle w:val="ListBullet"/>
        <w:spacing w:after="80"/>
        <w:ind w:left="360"/>
      </w:pPr>
      <w:r>
        <w:rPr>
          <w:rFonts w:ascii="Calibri" w:hAnsi="Calibri"/>
          <w:sz w:val="21"/>
        </w:rPr>
        <w:t>Angles de reponse : Mettre en avant gouvernance, risques, planning, ateliers de cadrage, adoption et KPI projet.</w:t>
      </w:r>
    </w:p>
    <w:p>
      <w:pPr>
        <w:pStyle w:val="ListBullet"/>
        <w:spacing w:after="80"/>
        <w:ind w:left="360"/>
      </w:pPr>
      <w:r>
        <w:rPr>
          <w:rFonts w:ascii="Calibri" w:hAnsi="Calibri"/>
          <w:sz w:val="21"/>
        </w:rPr>
        <w:t>Decision : POSTULER / QUALIFIER</w:t>
      </w:r>
    </w:p>
    <w:p>
      <w:pPr>
        <w:pStyle w:val="Heading3"/>
        <w:spacing w:line="264" w:lineRule="auto"/>
      </w:pPr>
      <w:r>
        <w:rPr>
          <w:rFonts w:ascii="Calibri" w:hAnsi="Calibri"/>
          <w:b w:val="0"/>
          <w:i w:val="0"/>
        </w:rPr>
        <w:t>3. Product Manager IA Innovation - Renault Group</w:t>
      </w:r>
    </w:p>
    <w:p>
      <w:pPr>
        <w:spacing w:after="40" w:line="264" w:lineRule="auto"/>
      </w:pPr>
      <w:r>
        <w:rPr>
          <w:rFonts w:ascii="Calibri" w:hAnsi="Calibri"/>
          <w:b/>
          <w:color w:val="565F6C"/>
          <w:sz w:val="19"/>
        </w:rPr>
        <w:t xml:space="preserve">Plateforme/source : Collective.work / LinkedIn | Localisation : France, details a confirmer | Score : 8.5/10 | </w:t>
      </w:r>
      <w:hyperlink r:id="rId19">
        <w:r>
          <w:rPr>
            <w:color w:val="0563C1"/>
            <w:u w:val="single"/>
          </w:rPr>
          <w:t>Lien</w:t>
        </w:r>
      </w:hyperlink>
    </w:p>
    <w:p>
      <w:pPr>
        <w:pStyle w:val="ListBullet"/>
        <w:spacing w:after="80"/>
        <w:ind w:left="360"/>
      </w:pPr>
      <w:r>
        <w:rPr>
          <w:rFonts w:ascii="Calibri" w:hAnsi="Calibri"/>
          <w:sz w:val="21"/>
        </w:rPr>
        <w:t>Resume mission : Mission Product Management sur portail d'IA agentique interne, avec enjeux innovation, adoption et coordination d'equipes pluridisciplinaires. Budget observe : 630 EUR/j.</w:t>
      </w:r>
    </w:p>
    <w:p>
      <w:pPr>
        <w:pStyle w:val="ListBullet"/>
        <w:spacing w:after="80"/>
        <w:ind w:left="360"/>
      </w:pPr>
      <w:r>
        <w:rPr>
          <w:rFonts w:ascii="Calibri" w:hAnsi="Calibri"/>
          <w:sz w:val="21"/>
        </w:rPr>
        <w:t>Fit competences : Tres bon alignement Product + IA + transformation interne + adoption utilisateur.</w:t>
      </w:r>
    </w:p>
    <w:p>
      <w:pPr>
        <w:pStyle w:val="ListBullet"/>
        <w:spacing w:after="80"/>
        <w:ind w:left="360"/>
      </w:pPr>
      <w:r>
        <w:rPr>
          <w:rFonts w:ascii="Calibri" w:hAnsi="Calibri"/>
          <w:sz w:val="21"/>
        </w:rPr>
        <w:t>Angles de reponse : Proposer un message cible : experience de discovery, roadmap, pilotage Agile/SAFe, mesure d'impact et acculturation metier.</w:t>
      </w:r>
    </w:p>
    <w:p>
      <w:pPr>
        <w:pStyle w:val="ListBullet"/>
        <w:spacing w:after="80"/>
        <w:ind w:left="360"/>
      </w:pPr>
      <w:r>
        <w:rPr>
          <w:rFonts w:ascii="Calibri" w:hAnsi="Calibri"/>
          <w:sz w:val="21"/>
        </w:rPr>
        <w:t>Decision : POSTULER EN PRIORITE</w:t>
      </w:r>
    </w:p>
    <w:p>
      <w:pPr>
        <w:pStyle w:val="Heading1"/>
        <w:spacing w:line="264" w:lineRule="auto"/>
      </w:pPr>
      <w:r>
        <w:rPr>
          <w:rFonts w:ascii="Calibri" w:hAnsi="Calibri"/>
          <w:b w:val="0"/>
          <w:i w:val="0"/>
        </w:rPr>
        <w:t>4. Enrichissement culture Product, Agile et IA</w:t>
      </w:r>
    </w:p>
    <w:p>
      <w:pPr>
        <w:pStyle w:val="Heading2"/>
        <w:spacing w:line="264" w:lineRule="auto"/>
      </w:pPr>
      <w:r>
        <w:rPr>
          <w:rFonts w:ascii="Calibri" w:hAnsi="Calibri"/>
          <w:b w:val="0"/>
          <w:i w:val="0"/>
        </w:rPr>
        <w:t>Methodologies a suivre et a transformer en offres</w:t>
      </w:r>
    </w:p>
    <w:p>
      <w:pPr>
        <w:pStyle w:val="Heading3"/>
        <w:spacing w:line="264" w:lineRule="auto"/>
      </w:pPr>
      <w:r>
        <w:rPr>
          <w:rFonts w:ascii="Calibri" w:hAnsi="Calibri"/>
          <w:b w:val="0"/>
          <w:i w:val="0"/>
        </w:rPr>
        <w:t>Product Operating Model</w:t>
      </w:r>
    </w:p>
    <w:p>
      <w:pPr>
        <w:pStyle w:val="ListBullet"/>
        <w:spacing w:after="80"/>
        <w:ind w:left="360"/>
      </w:pPr>
      <w:r>
        <w:rPr>
          <w:rFonts w:ascii="Calibri" w:hAnsi="Calibri"/>
          <w:sz w:val="21"/>
        </w:rPr>
        <w:t>Ce qu'il faut retenir : Passer d'equipes organisees par projets a des equipes produits responsabilisees sur des outcomes. Tres utile pour discuter avec dirigeants, DSI et directions metiers.</w:t>
      </w:r>
    </w:p>
    <w:p>
      <w:pPr>
        <w:spacing w:after="80" w:line="264" w:lineRule="auto"/>
      </w:pPr>
      <w:r>
        <w:rPr>
          <w:rFonts w:ascii="Calibri" w:hAnsi="Calibri"/>
          <w:b/>
          <w:color w:val="565F6C"/>
          <w:sz w:val="19"/>
        </w:rPr>
        <w:t xml:space="preserve">Source recommandee : Silicon Valley Product Group / Marty Cagan, Product Operating Model - </w:t>
      </w:r>
      <w:hyperlink r:id="rId20">
        <w:r>
          <w:rPr>
            <w:color w:val="0563C1"/>
            <w:u w:val="single"/>
          </w:rPr>
          <w:t>URL</w:t>
        </w:r>
      </w:hyperlink>
    </w:p>
    <w:p>
      <w:pPr>
        <w:pStyle w:val="Heading3"/>
        <w:spacing w:line="264" w:lineRule="auto"/>
      </w:pPr>
      <w:r>
        <w:rPr>
          <w:rFonts w:ascii="Calibri" w:hAnsi="Calibri"/>
          <w:b w:val="0"/>
          <w:i w:val="0"/>
        </w:rPr>
        <w:t>Continuous Discovery</w:t>
      </w:r>
    </w:p>
    <w:p>
      <w:pPr>
        <w:pStyle w:val="ListBullet"/>
        <w:spacing w:after="80"/>
        <w:ind w:left="360"/>
      </w:pPr>
      <w:r>
        <w:rPr>
          <w:rFonts w:ascii="Calibri" w:hAnsi="Calibri"/>
          <w:sz w:val="21"/>
        </w:rPr>
        <w:t>Ce qu'il faut retenir : Installer des rituels legers et continus de discovery : entretiens clients, hypotheses, tests, apprentissages. A vendre comme accelerateur de decision avant build.</w:t>
      </w:r>
    </w:p>
    <w:p>
      <w:pPr>
        <w:spacing w:after="80" w:line="264" w:lineRule="auto"/>
      </w:pPr>
      <w:r>
        <w:rPr>
          <w:rFonts w:ascii="Calibri" w:hAnsi="Calibri"/>
          <w:b/>
          <w:color w:val="565F6C"/>
          <w:sz w:val="19"/>
        </w:rPr>
        <w:t xml:space="preserve">Source recommandee : Product Talk - </w:t>
      </w:r>
      <w:hyperlink r:id="rId21">
        <w:r>
          <w:rPr>
            <w:color w:val="0563C1"/>
            <w:u w:val="single"/>
          </w:rPr>
          <w:t>URL</w:t>
        </w:r>
      </w:hyperlink>
    </w:p>
    <w:p>
      <w:pPr>
        <w:pStyle w:val="Heading3"/>
        <w:spacing w:line="264" w:lineRule="auto"/>
      </w:pPr>
      <w:r>
        <w:rPr>
          <w:rFonts w:ascii="Calibri" w:hAnsi="Calibri"/>
          <w:b w:val="0"/>
          <w:i w:val="0"/>
        </w:rPr>
        <w:t>Opportunity Solution Tree</w:t>
      </w:r>
    </w:p>
    <w:p>
      <w:pPr>
        <w:pStyle w:val="ListBullet"/>
        <w:spacing w:after="80"/>
        <w:ind w:left="360"/>
      </w:pPr>
      <w:r>
        <w:rPr>
          <w:rFonts w:ascii="Calibri" w:hAnsi="Calibri"/>
          <w:sz w:val="21"/>
        </w:rPr>
        <w:t>Ce qu'il faut retenir : Cartographier outcome, opportunites, solutions et experiments. Methode tres pedagogique pour aligner sponsors, PM, UX, tech et operations.</w:t>
      </w:r>
    </w:p>
    <w:p>
      <w:pPr>
        <w:spacing w:after="80" w:line="264" w:lineRule="auto"/>
      </w:pPr>
      <w:r>
        <w:rPr>
          <w:rFonts w:ascii="Calibri" w:hAnsi="Calibri"/>
          <w:b/>
          <w:color w:val="565F6C"/>
          <w:sz w:val="19"/>
        </w:rPr>
        <w:t xml:space="preserve">Source recommandee : Product Talk - </w:t>
      </w:r>
      <w:hyperlink r:id="rId15">
        <w:r>
          <w:rPr>
            <w:color w:val="0563C1"/>
            <w:u w:val="single"/>
          </w:rPr>
          <w:t>URL</w:t>
        </w:r>
      </w:hyperlink>
    </w:p>
    <w:p>
      <w:pPr>
        <w:pStyle w:val="Heading3"/>
        <w:spacing w:line="264" w:lineRule="auto"/>
      </w:pPr>
      <w:r>
        <w:rPr>
          <w:rFonts w:ascii="Calibri" w:hAnsi="Calibri"/>
          <w:b w:val="0"/>
          <w:i w:val="0"/>
        </w:rPr>
        <w:t>Team Topologies</w:t>
      </w:r>
    </w:p>
    <w:p>
      <w:pPr>
        <w:pStyle w:val="ListBullet"/>
        <w:spacing w:after="80"/>
        <w:ind w:left="360"/>
      </w:pPr>
      <w:r>
        <w:rPr>
          <w:rFonts w:ascii="Calibri" w:hAnsi="Calibri"/>
          <w:sz w:val="21"/>
        </w:rPr>
        <w:t>Ce qu'il faut retenir : Penser l'organisation produit/tech par flux de valeur, plateformes et charge cognitive. Tres pertinent pour missions de transformation digitale et delivery.</w:t>
      </w:r>
    </w:p>
    <w:p>
      <w:pPr>
        <w:spacing w:after="80" w:line="264" w:lineRule="auto"/>
      </w:pPr>
      <w:r>
        <w:rPr>
          <w:rFonts w:ascii="Calibri" w:hAnsi="Calibri"/>
          <w:b/>
          <w:color w:val="565F6C"/>
          <w:sz w:val="19"/>
        </w:rPr>
        <w:t xml:space="preserve">Source recommandee : Team Topologies - </w:t>
      </w:r>
      <w:hyperlink r:id="rId22">
        <w:r>
          <w:rPr>
            <w:color w:val="0563C1"/>
            <w:u w:val="single"/>
          </w:rPr>
          <w:t>URL</w:t>
        </w:r>
      </w:hyperlink>
    </w:p>
    <w:p>
      <w:pPr>
        <w:pStyle w:val="Heading3"/>
        <w:spacing w:line="264" w:lineRule="auto"/>
      </w:pPr>
      <w:r>
        <w:rPr>
          <w:rFonts w:ascii="Calibri" w:hAnsi="Calibri"/>
          <w:b w:val="0"/>
          <w:i w:val="0"/>
        </w:rPr>
        <w:t>Scrum recentre sur les engagements</w:t>
      </w:r>
    </w:p>
    <w:p>
      <w:pPr>
        <w:pStyle w:val="ListBullet"/>
        <w:spacing w:after="80"/>
        <w:ind w:left="360"/>
      </w:pPr>
      <w:r>
        <w:rPr>
          <w:rFonts w:ascii="Calibri" w:hAnsi="Calibri"/>
          <w:sz w:val="21"/>
        </w:rPr>
        <w:t>Ce qu'il faut retenir : Revenir aux fondamentaux : Product Goal, Sprint Goal, Definition of Done. Permet de diagnostiquer les organisations qui font des ceremonies sans impact.</w:t>
      </w:r>
    </w:p>
    <w:p>
      <w:pPr>
        <w:spacing w:after="80" w:line="264" w:lineRule="auto"/>
      </w:pPr>
      <w:r>
        <w:rPr>
          <w:rFonts w:ascii="Calibri" w:hAnsi="Calibri"/>
          <w:b/>
          <w:color w:val="565F6C"/>
          <w:sz w:val="19"/>
        </w:rPr>
        <w:t xml:space="preserve">Source officielle : Scrum Guide - </w:t>
      </w:r>
      <w:hyperlink r:id="rId16">
        <w:r>
          <w:rPr>
            <w:color w:val="0563C1"/>
            <w:u w:val="single"/>
          </w:rPr>
          <w:t>URL</w:t>
        </w:r>
      </w:hyperlink>
    </w:p>
    <w:p>
      <w:pPr>
        <w:pStyle w:val="Heading3"/>
        <w:spacing w:line="264" w:lineRule="auto"/>
      </w:pPr>
      <w:r>
        <w:rPr>
          <w:rFonts w:ascii="Calibri" w:hAnsi="Calibri"/>
          <w:b w:val="0"/>
          <w:i w:val="0"/>
        </w:rPr>
        <w:t>SAFe et Business Agility</w:t>
      </w:r>
    </w:p>
    <w:p>
      <w:pPr>
        <w:pStyle w:val="ListBullet"/>
        <w:spacing w:after="80"/>
        <w:ind w:left="360"/>
      </w:pPr>
      <w:r>
        <w:rPr>
          <w:rFonts w:ascii="Calibri" w:hAnsi="Calibri"/>
          <w:sz w:val="21"/>
        </w:rPr>
        <w:t>Ce qu'il faut retenir : A connaitre pour parler avec grands comptes, meme si l'approche doit rester pragmatique. Utile pour missions corporate avec coordination multi-equipes.</w:t>
      </w:r>
    </w:p>
    <w:p>
      <w:pPr>
        <w:spacing w:after="80" w:line="264" w:lineRule="auto"/>
      </w:pPr>
      <w:r>
        <w:rPr>
          <w:rFonts w:ascii="Calibri" w:hAnsi="Calibri"/>
          <w:b/>
          <w:color w:val="565F6C"/>
          <w:sz w:val="19"/>
        </w:rPr>
        <w:t xml:space="preserve">Source officielle : Scaled Agile Framework - </w:t>
      </w:r>
      <w:hyperlink r:id="rId23">
        <w:r>
          <w:rPr>
            <w:color w:val="0563C1"/>
            <w:u w:val="single"/>
          </w:rPr>
          <w:t>URL</w:t>
        </w:r>
      </w:hyperlink>
    </w:p>
    <w:p>
      <w:pPr>
        <w:pStyle w:val="Heading1"/>
        <w:spacing w:line="264" w:lineRule="auto"/>
      </w:pPr>
      <w:r>
        <w:rPr>
          <w:rFonts w:ascii="Calibri" w:hAnsi="Calibri"/>
          <w:b w:val="0"/>
          <w:i w:val="0"/>
        </w:rPr>
        <w:t>5. Kit d'action pour les prochaines 48 heures</w:t>
      </w:r>
    </w:p>
    <w:p>
      <w:pPr>
        <w:pStyle w:val="Heading2"/>
        <w:spacing w:line="264" w:lineRule="auto"/>
      </w:pPr>
      <w:r>
        <w:rPr>
          <w:rFonts w:ascii="Calibri" w:hAnsi="Calibri"/>
          <w:b w:val="0"/>
          <w:i w:val="0"/>
        </w:rPr>
        <w:t>Priorites</w:t>
      </w:r>
    </w:p>
    <w:p>
      <w:pPr>
        <w:pStyle w:val="ListBullet"/>
        <w:spacing w:after="80"/>
        <w:ind w:left="360"/>
      </w:pPr>
      <w:r>
        <w:rPr>
          <w:rFonts w:ascii="Calibri" w:hAnsi="Calibri"/>
          <w:sz w:val="21"/>
        </w:rPr>
        <w:t>Repondre aux deux opportunites les plus alignees : Esmoz et Collective.work/Renault.</w:t>
      </w:r>
    </w:p>
    <w:p>
      <w:pPr>
        <w:pStyle w:val="ListBullet"/>
        <w:spacing w:after="80"/>
        <w:ind w:left="360"/>
      </w:pPr>
      <w:r>
        <w:rPr>
          <w:rFonts w:ascii="Calibri" w:hAnsi="Calibri"/>
          <w:sz w:val="21"/>
        </w:rPr>
        <w:t>Publier un post LinkedIn sur le cadrage des agents IA : 'un agent IA sans gouvernance cree de l'activite, pas forcement de la valeur'.</w:t>
      </w:r>
    </w:p>
    <w:p>
      <w:pPr>
        <w:pStyle w:val="ListBullet"/>
        <w:spacing w:after="80"/>
        <w:ind w:left="360"/>
      </w:pPr>
      <w:r>
        <w:rPr>
          <w:rFonts w:ascii="Calibri" w:hAnsi="Calibri"/>
          <w:sz w:val="21"/>
        </w:rPr>
        <w:t>Formaliser une offre courte : Audit IA et Product Discovery, livrable en 5 jours, avec scoring cas d'usage et roadmap pilote.</w:t>
      </w:r>
    </w:p>
    <w:p>
      <w:pPr>
        <w:pStyle w:val="ListBullet"/>
        <w:spacing w:after="80"/>
        <w:ind w:left="360"/>
      </w:pPr>
      <w:r>
        <w:rPr>
          <w:rFonts w:ascii="Calibri" w:hAnsi="Calibri"/>
          <w:sz w:val="21"/>
        </w:rPr>
        <w:t>Preparer un mini-template de reponse mission : contexte, fit, preuves, approche 30 jours, disponibilite.</w:t>
      </w:r>
    </w:p>
    <w:p>
      <w:pPr>
        <w:pStyle w:val="Heading2"/>
        <w:spacing w:line="264" w:lineRule="auto"/>
      </w:pPr>
      <w:r>
        <w:rPr>
          <w:rFonts w:ascii="Calibri" w:hAnsi="Calibri"/>
          <w:b w:val="0"/>
          <w:i w:val="0"/>
        </w:rPr>
        <w:t>Message LinkedIn propose</w:t>
      </w:r>
    </w:p>
    <w:p>
      <w:pPr>
        <w:spacing w:line="264" w:lineRule="auto"/>
      </w:pPr>
      <w:r>
        <w:rPr>
          <w:rFonts w:ascii="Calibri" w:hAnsi="Calibri"/>
          <w:b w:val="0"/>
          <w:i/>
          <w:color w:val="565F6C"/>
        </w:rPr>
        <w:t>Les agents IA ne remplacent pas le product management. Ils rendent le cadrage produit encore plus important. Sans outcome clair, gouvernance, donnees accessibles et adoption metier, un agent produit surtout du bruit. La vraie question pour 2026 n'est pas 'quel outil IA choisir ?', mais 'quel processus de decision voulons-nous augmenter ?'</w:t>
      </w:r>
    </w:p>
    <w:p>
      <w:pPr>
        <w:pStyle w:val="Heading1"/>
        <w:spacing w:line="264" w:lineRule="auto"/>
      </w:pPr>
      <w:r>
        <w:rPr>
          <w:rFonts w:ascii="Calibri" w:hAnsi="Calibri"/>
          <w:b w:val="0"/>
          <w:i w:val="0"/>
        </w:rPr>
        <w:t>6. Sources et URLs verifiables</w:t>
      </w:r>
    </w:p>
    <w:p>
      <w:pPr>
        <w:spacing w:after="40" w:line="264" w:lineRule="auto"/>
      </w:pPr>
      <w:r>
        <w:rPr>
          <w:rFonts w:ascii="Calibri" w:hAnsi="Calibri"/>
          <w:b/>
          <w:color w:val="565F6C"/>
          <w:sz w:val="18"/>
        </w:rPr>
        <w:t xml:space="preserve">OpenAI - Codex for every role : </w:t>
      </w:r>
      <w:hyperlink r:id="rId11">
        <w:r>
          <w:rPr>
            <w:color w:val="0563C1"/>
            <w:u w:val="single"/>
          </w:rPr>
          <w:t>https://openai.com/index/codex-for-every-role-tool-workflow/</w:t>
        </w:r>
      </w:hyperlink>
    </w:p>
    <w:p>
      <w:pPr>
        <w:spacing w:after="40" w:line="264" w:lineRule="auto"/>
      </w:pPr>
      <w:r>
        <w:rPr>
          <w:rFonts w:ascii="Calibri" w:hAnsi="Calibri"/>
          <w:b/>
          <w:color w:val="565F6C"/>
          <w:sz w:val="18"/>
        </w:rPr>
        <w:t xml:space="preserve">McKinsey - Seizing the agentic AI advantage : </w:t>
      </w:r>
      <w:hyperlink r:id="rId12">
        <w:r>
          <w:rPr>
            <w:color w:val="0563C1"/>
            <w:u w:val="single"/>
          </w:rPr>
          <w:t>https://www.mckinsey.com/~/media/mckinsey/business%20functions/quantumblack/our%20insights/seizing%20the%20agentic%20ai%20advantage/seizing-the-agentic-ai-advantage.pdf</w:t>
        </w:r>
      </w:hyperlink>
    </w:p>
    <w:p>
      <w:pPr>
        <w:spacing w:after="40" w:line="264" w:lineRule="auto"/>
      </w:pPr>
      <w:r>
        <w:rPr>
          <w:rFonts w:ascii="Calibri" w:hAnsi="Calibri"/>
          <w:b/>
          <w:color w:val="565F6C"/>
          <w:sz w:val="18"/>
        </w:rPr>
        <w:t xml:space="preserve">Atlassian - Team '26 AI-native organization : </w:t>
      </w:r>
      <w:hyperlink r:id="rId13">
        <w:r>
          <w:rPr>
            <w:color w:val="0563C1"/>
            <w:u w:val="single"/>
          </w:rPr>
          <w:t>https://www.atlassian.com/blog/company-news/founder-update-team-26</w:t>
        </w:r>
      </w:hyperlink>
    </w:p>
    <w:p>
      <w:pPr>
        <w:spacing w:after="40" w:line="264" w:lineRule="auto"/>
      </w:pPr>
      <w:r>
        <w:rPr>
          <w:rFonts w:ascii="Calibri" w:hAnsi="Calibri"/>
          <w:b/>
          <w:color w:val="565F6C"/>
          <w:sz w:val="18"/>
        </w:rPr>
        <w:t xml:space="preserve">ProductPlan - State of Product Management 2026 : </w:t>
      </w:r>
      <w:hyperlink r:id="rId14">
        <w:r>
          <w:rPr>
            <w:color w:val="0563C1"/>
            <w:u w:val="single"/>
          </w:rPr>
          <w:t>https://www.productplan.com/the-2026-state-of-product-management-report-2/</w:t>
        </w:r>
      </w:hyperlink>
    </w:p>
    <w:p>
      <w:pPr>
        <w:spacing w:after="40" w:line="264" w:lineRule="auto"/>
      </w:pPr>
      <w:r>
        <w:rPr>
          <w:rFonts w:ascii="Calibri" w:hAnsi="Calibri"/>
          <w:b/>
          <w:color w:val="565F6C"/>
          <w:sz w:val="18"/>
        </w:rPr>
        <w:t xml:space="preserve">Product Talk - Opportunity Solution Tree : </w:t>
      </w:r>
      <w:hyperlink r:id="rId15">
        <w:r>
          <w:rPr>
            <w:color w:val="0563C1"/>
            <w:u w:val="single"/>
          </w:rPr>
          <w:t>https://www.producttalk.org/opportunity-solution-tree/</w:t>
        </w:r>
      </w:hyperlink>
    </w:p>
    <w:p>
      <w:pPr>
        <w:spacing w:after="40" w:line="264" w:lineRule="auto"/>
      </w:pPr>
      <w:r>
        <w:rPr>
          <w:rFonts w:ascii="Calibri" w:hAnsi="Calibri"/>
          <w:b/>
          <w:color w:val="565F6C"/>
          <w:sz w:val="18"/>
        </w:rPr>
        <w:t xml:space="preserve">Product Talk - Continuous Discovery Habits : </w:t>
      </w:r>
      <w:hyperlink r:id="rId21">
        <w:r>
          <w:rPr>
            <w:color w:val="0563C1"/>
            <w:u w:val="single"/>
          </w:rPr>
          <w:t>https://www.producttalk.org/continuous-discovery-habits/</w:t>
        </w:r>
      </w:hyperlink>
    </w:p>
    <w:p>
      <w:pPr>
        <w:spacing w:after="40" w:line="264" w:lineRule="auto"/>
      </w:pPr>
      <w:r>
        <w:rPr>
          <w:rFonts w:ascii="Calibri" w:hAnsi="Calibri"/>
          <w:b/>
          <w:color w:val="565F6C"/>
          <w:sz w:val="18"/>
        </w:rPr>
        <w:t xml:space="preserve">Scrum Guide officiel : </w:t>
      </w:r>
      <w:hyperlink r:id="rId16">
        <w:r>
          <w:rPr>
            <w:color w:val="0563C1"/>
            <w:u w:val="single"/>
          </w:rPr>
          <w:t>https://scrumguides.org/scrum-guide.html</w:t>
        </w:r>
      </w:hyperlink>
    </w:p>
    <w:p>
      <w:pPr>
        <w:spacing w:after="40" w:line="264" w:lineRule="auto"/>
      </w:pPr>
      <w:r>
        <w:rPr>
          <w:rFonts w:ascii="Calibri" w:hAnsi="Calibri"/>
          <w:b/>
          <w:color w:val="565F6C"/>
          <w:sz w:val="18"/>
        </w:rPr>
        <w:t xml:space="preserve">SVPG - Product Operating Model : </w:t>
      </w:r>
      <w:hyperlink r:id="rId20">
        <w:r>
          <w:rPr>
            <w:color w:val="0563C1"/>
            <w:u w:val="single"/>
          </w:rPr>
          <w:t>https://www.svpg.com/product-operating-model/</w:t>
        </w:r>
      </w:hyperlink>
    </w:p>
    <w:p>
      <w:pPr>
        <w:spacing w:after="40" w:line="264" w:lineRule="auto"/>
      </w:pPr>
      <w:r>
        <w:rPr>
          <w:rFonts w:ascii="Calibri" w:hAnsi="Calibri"/>
          <w:b/>
          <w:color w:val="565F6C"/>
          <w:sz w:val="18"/>
        </w:rPr>
        <w:t xml:space="preserve">Team Topologies : </w:t>
      </w:r>
      <w:hyperlink r:id="rId22">
        <w:r>
          <w:rPr>
            <w:color w:val="0563C1"/>
            <w:u w:val="single"/>
          </w:rPr>
          <w:t>https://teamtopologies.com/</w:t>
        </w:r>
      </w:hyperlink>
    </w:p>
    <w:p>
      <w:pPr>
        <w:spacing w:after="40" w:line="264" w:lineRule="auto"/>
      </w:pPr>
      <w:r>
        <w:rPr>
          <w:rFonts w:ascii="Calibri" w:hAnsi="Calibri"/>
          <w:b/>
          <w:color w:val="565F6C"/>
          <w:sz w:val="18"/>
        </w:rPr>
        <w:t xml:space="preserve">Scaled Agile Framework : </w:t>
      </w:r>
      <w:hyperlink r:id="rId23">
        <w:r>
          <w:rPr>
            <w:color w:val="0563C1"/>
            <w:u w:val="single"/>
          </w:rPr>
          <w:t>https://scaledagileframework.com/</w:t>
        </w:r>
      </w:hyperlink>
    </w:p>
    <w:p>
      <w:pPr>
        <w:spacing w:after="40" w:line="264" w:lineRule="auto"/>
      </w:pPr>
      <w:r>
        <w:rPr>
          <w:rFonts w:ascii="Calibri" w:hAnsi="Calibri"/>
          <w:b/>
          <w:color w:val="565F6C"/>
          <w:sz w:val="18"/>
        </w:rPr>
        <w:t xml:space="preserve">Mission Esmoz LinkedIn : </w:t>
      </w:r>
      <w:hyperlink r:id="rId17">
        <w:r>
          <w:rPr>
            <w:color w:val="0563C1"/>
            <w:u w:val="single"/>
          </w:rPr>
          <w:t>https://fr.linkedin.com/jobs/view/product-owner-ia-h-f-freelance-ou-cdi-at-esmoz-4380305176</w:t>
        </w:r>
      </w:hyperlink>
    </w:p>
    <w:p>
      <w:pPr>
        <w:spacing w:after="40" w:line="264" w:lineRule="auto"/>
      </w:pPr>
      <w:r>
        <w:rPr>
          <w:rFonts w:ascii="Calibri" w:hAnsi="Calibri"/>
          <w:b/>
          <w:color w:val="565F6C"/>
          <w:sz w:val="18"/>
        </w:rPr>
        <w:t xml:space="preserve">Mission Mindquest Free-Work : </w:t>
      </w:r>
      <w:hyperlink r:id="rId18">
        <w:r>
          <w:rPr>
            <w:color w:val="0563C1"/>
            <w:u w:val="single"/>
          </w:rPr>
          <w:t>https://www.free-work.com/fr/tech-it/assistant-chef-de-projet/job-mission/chef-de-projet-ia-h-f-92</w:t>
        </w:r>
      </w:hyperlink>
    </w:p>
    <w:p>
      <w:pPr>
        <w:spacing w:after="40" w:line="264" w:lineRule="auto"/>
      </w:pPr>
      <w:r>
        <w:rPr>
          <w:rFonts w:ascii="Calibri" w:hAnsi="Calibri"/>
          <w:b/>
          <w:color w:val="565F6C"/>
          <w:sz w:val="18"/>
        </w:rPr>
        <w:t xml:space="preserve">Mission Collective.work LinkedIn : </w:t>
      </w:r>
      <w:hyperlink r:id="rId19">
        <w:r>
          <w:rPr>
            <w:color w:val="0563C1"/>
            <w:u w:val="single"/>
          </w:rPr>
          <w:t>https://fr.linkedin.com/jobs/view/product-manager-ia-innovation-freelance-at-collective-work-4363842531</w:t>
        </w:r>
      </w:hyperlink>
    </w:p>
    <w:sectPr w:rsidR="00FC693F" w:rsidRPr="0006063C" w:rsidSect="00034616">
      <w:headerReference w:type="default" r:id="rId9"/>
      <w:footerReference w:type="default" r:id="rId10"/>
      <w:pgSz w:w="12240" w:h="15840"/>
      <w:pgMar w:top="1152"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65F6C"/>
        <w:sz w:val="18"/>
      </w:rPr>
      <w:t xml:space="preserve">Rapport hebdomadaire - confidentiel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65F6C"/>
        <w:sz w:val="18"/>
      </w:rPr>
      <w:t>Assistant IA SASU | Veille, prospection et culture produit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ai.com/index/codex-for-every-role-tool-workflow/" TargetMode="External"/><Relationship Id="rId12" Type="http://schemas.openxmlformats.org/officeDocument/2006/relationships/hyperlink" Target="https://www.mckinsey.com/~/media/mckinsey/business%20functions/quantumblack/our%20insights/seizing%20the%20agentic%20ai%20advantage/seizing-the-agentic-ai-advantage.pdf" TargetMode="External"/><Relationship Id="rId13" Type="http://schemas.openxmlformats.org/officeDocument/2006/relationships/hyperlink" Target="https://www.atlassian.com/blog/company-news/founder-update-team-26" TargetMode="External"/><Relationship Id="rId14" Type="http://schemas.openxmlformats.org/officeDocument/2006/relationships/hyperlink" Target="https://www.productplan.com/the-2026-state-of-product-management-report-2/" TargetMode="External"/><Relationship Id="rId15" Type="http://schemas.openxmlformats.org/officeDocument/2006/relationships/hyperlink" Target="https://www.producttalk.org/opportunity-solution-tree/" TargetMode="External"/><Relationship Id="rId16" Type="http://schemas.openxmlformats.org/officeDocument/2006/relationships/hyperlink" Target="https://scrumguides.org/scrum-guide.html" TargetMode="External"/><Relationship Id="rId17" Type="http://schemas.openxmlformats.org/officeDocument/2006/relationships/hyperlink" Target="https://fr.linkedin.com/jobs/view/product-owner-ia-h-f-freelance-ou-cdi-at-esmoz-4380305176" TargetMode="External"/><Relationship Id="rId18" Type="http://schemas.openxmlformats.org/officeDocument/2006/relationships/hyperlink" Target="https://www.free-work.com/fr/tech-it/assistant-chef-de-projet/job-mission/chef-de-projet-ia-h-f-92" TargetMode="External"/><Relationship Id="rId19" Type="http://schemas.openxmlformats.org/officeDocument/2006/relationships/hyperlink" Target="https://fr.linkedin.com/jobs/view/product-manager-ia-innovation-freelance-at-collective-work-4363842531" TargetMode="External"/><Relationship Id="rId20" Type="http://schemas.openxmlformats.org/officeDocument/2006/relationships/hyperlink" Target="https://www.svpg.com/product-operating-model/" TargetMode="External"/><Relationship Id="rId21" Type="http://schemas.openxmlformats.org/officeDocument/2006/relationships/hyperlink" Target="https://www.producttalk.org/continuous-discovery-habits/" TargetMode="External"/><Relationship Id="rId22" Type="http://schemas.openxmlformats.org/officeDocument/2006/relationships/hyperlink" Target="https://teamtopologies.com/" TargetMode="External"/><Relationship Id="rId23" Type="http://schemas.openxmlformats.org/officeDocument/2006/relationships/hyperlink" Target="https://scaledagileframewor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