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TABLEAU DE BORD MENSUEL SASU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Suivi de gestion : CA, TJM, taux d'occupation et projections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2026-06-03</w:t>
      </w:r>
    </w:p>
    <w:p>
      <w:pPr>
        <w:spacing w:line="264" w:lineRule="auto"/>
      </w:pPr>
      <w:r>
        <w:rPr>
          <w:rFonts w:ascii="Calibri" w:hAnsi="Calibri"/>
          <w:b/>
          <w:i w:val="0"/>
          <w:color w:val="9B1C1C"/>
        </w:rPr>
        <w:t>Format de facture non reconnu.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Format attendu (CSV) : date;montant_ht;tjm;jours;client;mission</w:t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