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>TABLEAU DE BORD MENSUEL SASU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Suivi de gestion : CA, TJM, taux d'occupation et projections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Assistant IA SASU</w:t>
      </w:r>
    </w:p>
    <w:p>
      <w:pPr>
        <w:spacing w:after="2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2026-06-10</w:t>
      </w:r>
    </w:p>
    <w:p>
      <w:pPr>
        <w:spacing w:line="264" w:lineRule="auto"/>
      </w:pPr>
      <w:r>
        <w:rPr>
          <w:rFonts w:ascii="Calibri" w:hAnsi="Calibri"/>
          <w:b/>
          <w:i w:val="0"/>
          <w:color w:val="9B1C1C"/>
        </w:rPr>
        <w:t>Format de facture non reconnu.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Format attendu (CSV) : date;montant_ht;tjm;jours;client;mission</w:t>
      </w:r>
    </w:p>
    <w:sectPr w:rsidR="00FC693F" w:rsidRPr="0006063C" w:rsidSect="00034616"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