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 xml:space="preserve">RAPPORT HEBDOMADAIRE </w:t>
      </w:r>
    </w:p>
    <w:p>
      <w:pPr>
        <w:spacing w:after="280" w:line="264" w:lineRule="auto"/>
      </w:pPr>
      <w:r>
        <w:rPr>
          <w:rFonts w:ascii="Calibri" w:hAnsi="Calibri"/>
          <w:b w:val="0"/>
          <w:i w:val="0"/>
          <w:color w:val="565F6C"/>
          <w:sz w:val="27"/>
        </w:rPr>
        <w:t>Veille, prospection et ressources de la semaine</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Positionnement : </w:t>
      </w:r>
      <w:r>
        <w:rPr>
          <w:rFonts w:ascii="Calibri" w:hAnsi="Calibri"/>
          <w:color w:val="000000"/>
        </w:rPr>
        <w:t>Freelance senior : gestion de projet, digital et IA</w:t>
      </w:r>
    </w:p>
    <w:p>
      <w:pPr>
        <w:spacing w:after="40" w:line="264" w:lineRule="auto"/>
      </w:pPr>
      <w:r>
        <w:rPr>
          <w:rFonts w:ascii="Calibri" w:hAnsi="Calibri"/>
          <w:b/>
          <w:color w:val="000000"/>
        </w:rPr>
        <w:t xml:space="preserve">Date du rapport : </w:t>
      </w:r>
      <w:r>
        <w:rPr>
          <w:rFonts w:ascii="Calibri" w:hAnsi="Calibri"/>
          <w:color w:val="000000"/>
        </w:rPr>
        <w:t>2026-09-09</w:t>
      </w:r>
    </w:p>
    <w:p>
      <w:pPr>
        <w:spacing w:before="200" w:after="200" w:line="264" w:lineRule="auto"/>
        <w:pBdr>
          <w:bottom w:val="single" w:sz="4" w:space="1" w:color="BFBFBF"/>
        </w:pBdr>
      </w:pPr>
    </w:p>
    <w:tbl>
      <w:tblPr>
        <w:tblW w:type="auto" w:w="0"/>
        <w:tblLayout w:type="autofit"/>
        <w:tblLook w:firstColumn="1" w:firstRow="1" w:lastColumn="0" w:lastRow="0" w:noHBand="0" w:noVBand="1" w:val="04A0"/>
      </w:tblPr>
      <w:tblGrid>
        <w:gridCol w:w="9792"/>
      </w:tblGrid>
      <w:tr>
        <w:tc>
          <w:tcPr>
            <w:tcW w:type="dxa" w:w="9792"/>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Lecture executive</w:t>
              <w:br/>
            </w:r>
            <w:r>
              <w:rPr>
                <w:rFonts w:ascii="Calibri" w:hAnsi="Calibri"/>
                <w:color w:val="333333"/>
                <w:sz w:val="20"/>
              </w:rPr>
              <w:t>Cette semaine, j'ai prepare pour toi une selection d'articles et d'opportunites trouves pour ASTRA MOMENTUM.</w:t>
            </w:r>
          </w:p>
        </w:tc>
      </w:tr>
    </w:tbl>
    <w:p>
      <w:pPr>
        <w:spacing w:after="120" w:line="264" w:lineRule="auto"/>
      </w:pPr>
    </w:p>
    <w:p>
      <w:pPr>
        <w:pStyle w:val="Heading1"/>
        <w:pBdr>
          <w:left w:val="single" w:sz="28" w:space="8" w:color="005B96"/>
        </w:pBdr>
      </w:pPr>
      <w:r>
        <w:rPr>
          <w:rFonts w:ascii="Calibri" w:hAnsi="Calibri"/>
          <w:b/>
          <w:color w:val="0B2545"/>
          <w:sz w:val="30"/>
        </w:rPr>
        <w:t>1. Tableau de bord</w:t>
      </w:r>
    </w:p>
    <w:p>
      <w:pPr>
        <w:pStyle w:val="ListBullet"/>
        <w:spacing w:after="80"/>
      </w:pPr>
      <w:r>
        <w:rPr>
          <w:rFonts w:ascii="Calibri" w:hAnsi="Calibri"/>
          <w:sz w:val="21"/>
        </w:rPr>
        <w:t>7 articles et 5 opportunites retenus cette semaine.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Signal</w:t>
            </w:r>
          </w:p>
        </w:tc>
        <w:tc>
          <w:tcPr>
            <w:tcW w:type="dxa" w:w="3168"/>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Observation</w:t>
            </w:r>
          </w:p>
        </w:tc>
        <w:tc>
          <w:tcPr>
            <w:tcW w:type="dxa" w:w="3024"/>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Action conseillee</w:t>
            </w:r>
          </w:p>
        </w:tc>
        <w:tc>
          <w:tcPr>
            <w:tcW w:type="dxa" w:w="1152"/>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Priorite</w:t>
            </w:r>
          </w:p>
        </w:tc>
      </w:tr>
      <w:tr>
        <w:tc>
          <w:tcPr>
            <w:tcW w:type="dxa" w:w="2016"/>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Veille IA/Product</w:t>
            </w:r>
          </w:p>
        </w:tc>
        <w:tc>
          <w:tcPr>
            <w:tcW w:type="dxa" w:w="3168"/>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7 contenus retenus</w:t>
            </w:r>
          </w:p>
        </w:tc>
        <w:tc>
          <w:tcPr>
            <w:tcW w:type="dxa" w:w="3024"/>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Enrichir le discours commercial</w:t>
            </w:r>
          </w:p>
        </w:tc>
        <w:tc>
          <w:tcPr>
            <w:tcW w:type="dxa" w:w="1152"/>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r>
        <w:tc>
          <w:tcPr>
            <w:tcW w:type="dxa" w:w="2016"/>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Prospection</w:t>
            </w:r>
          </w:p>
        </w:tc>
        <w:tc>
          <w:tcPr>
            <w:tcW w:type="dxa" w:w="3168"/>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5 opportunites retenues</w:t>
            </w:r>
          </w:p>
        </w:tc>
        <w:tc>
          <w:tcPr>
            <w:tcW w:type="dxa" w:w="3024"/>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Qualifier les 5 meilleures pistes</w:t>
            </w:r>
          </w:p>
        </w:tc>
        <w:tc>
          <w:tcPr>
            <w:tcW w:type="dxa" w:w="1152"/>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bl>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2. Veille de la semaine</w:t>
      </w:r>
    </w:p>
    <w:p>
      <w:pPr>
        <w:spacing w:before="80" w:after="160" w:line="264" w:lineRule="auto"/>
      </w:pPr>
      <w:r>
        <w:rPr>
          <w:rFonts w:ascii="Calibri" w:hAnsi="Calibri"/>
          <w:b w:val="0"/>
          <w:i/>
          <w:color w:val="565F6C"/>
          <w:sz w:val="19"/>
        </w:rPr>
        <w:t>Voici les articles et ressources retenus cette semaine.</w:t>
      </w:r>
    </w:p>
    <w:p>
      <w:pPr>
        <w:pStyle w:val="Heading3"/>
        <w:pBdr>
          <w:left w:val="single" w:sz="28" w:space="8" w:color="005B96"/>
        </w:pBdr>
      </w:pPr>
      <w:r>
        <w:rPr>
          <w:rFonts w:ascii="Calibri" w:hAnsi="Calibri"/>
          <w:b/>
          <w:color w:val="0B2545"/>
          <w:sz w:val="23"/>
        </w:rPr>
        <w:t>1. Fragments: September 8</w:t>
      </w:r>
    </w:p>
    <w:p>
      <w:pPr>
        <w:spacing w:after="40" w:line="264" w:lineRule="auto"/>
      </w:pPr>
      <w:r>
        <w:rPr>
          <w:rFonts w:ascii="Calibri" w:hAnsi="Calibri"/>
          <w:b/>
          <w:color w:val="565F6C"/>
          <w:sz w:val="19"/>
        </w:rPr>
        <w:t>Source : Martin Fowler</w:t>
      </w:r>
    </w:p>
    <w:p>
      <w:pPr>
        <w:spacing w:after="80" w:line="264" w:lineRule="auto"/>
      </w:pPr>
      <w:hyperlink r:id="rId11">
        <w:r>
          <w:rPr>
            <w:color w:val="0563C1"/>
            <w:u w:val="single"/>
          </w:rPr>
          <w:t>https://martinfowler.com/fragments/2026-09-08.html</w:t>
        </w:r>
      </w:hyperlink>
    </w:p>
    <w:p>
      <w:pPr>
        <w:pStyle w:val="ListBullet"/>
        <w:spacing w:after="80"/>
      </w:pPr>
      <w:r>
        <w:rPr>
          <w:rFonts w:ascii="Calibri" w:hAnsi="Calibri"/>
          <w:sz w:val="21"/>
        </w:rPr>
        <w:t>Christian Catalini says we’re in a situation where we are vastly reducing the cost of generating things, but not the cost of verifying them:.</w:t>
      </w:r>
    </w:p>
    <w:p>
      <w:pPr>
        <w:pStyle w:val="Heading3"/>
        <w:pBdr>
          <w:left w:val="single" w:sz="28" w:space="8" w:color="005B96"/>
        </w:pBdr>
      </w:pPr>
      <w:r>
        <w:rPr>
          <w:rFonts w:ascii="Calibri" w:hAnsi="Calibri"/>
          <w:b/>
          <w:color w:val="0B2545"/>
          <w:sz w:val="23"/>
        </w:rPr>
        <w:t>2. Making Your Data Ready for Agentic AI</w:t>
      </w:r>
    </w:p>
    <w:p>
      <w:pPr>
        <w:spacing w:after="40" w:line="264" w:lineRule="auto"/>
      </w:pPr>
      <w:r>
        <w:rPr>
          <w:rFonts w:ascii="Calibri" w:hAnsi="Calibri"/>
          <w:b/>
          <w:color w:val="565F6C"/>
          <w:sz w:val="19"/>
        </w:rPr>
        <w:t>Source : Martin Fowler</w:t>
      </w:r>
    </w:p>
    <w:p>
      <w:pPr>
        <w:spacing w:after="80" w:line="264" w:lineRule="auto"/>
      </w:pPr>
      <w:hyperlink r:id="rId12">
        <w:r>
          <w:rPr>
            <w:color w:val="0563C1"/>
            <w:u w:val="single"/>
          </w:rPr>
          <w:t>https://martinfowler.com/articles/making-data-ready-for-agentic-ai.html</w:t>
        </w:r>
      </w:hyperlink>
    </w:p>
    <w:p>
      <w:pPr>
        <w:pStyle w:val="ListBullet"/>
        <w:spacing w:after="80"/>
      </w:pPr>
      <w:r>
        <w:rPr>
          <w:rFonts w:ascii="Calibri" w:hAnsi="Calibri"/>
          <w:sz w:val="21"/>
        </w:rPr>
        <w:t>Lots of organizations are excited about what AI can do to streamline their processes, save money, and juice margins.</w:t>
      </w:r>
    </w:p>
    <w:p>
      <w:pPr>
        <w:pStyle w:val="Heading3"/>
        <w:pBdr>
          <w:left w:val="single" w:sz="28" w:space="8" w:color="005B96"/>
        </w:pBdr>
      </w:pPr>
      <w:r>
        <w:rPr>
          <w:rFonts w:ascii="Calibri" w:hAnsi="Calibri"/>
          <w:b/>
          <w:color w:val="0B2545"/>
          <w:sz w:val="23"/>
        </w:rPr>
        <w:t>3. AI Evals: A Hands-On Guide for Product Teams</w:t>
      </w:r>
    </w:p>
    <w:p>
      <w:pPr>
        <w:spacing w:after="40" w:line="264" w:lineRule="auto"/>
      </w:pPr>
      <w:r>
        <w:rPr>
          <w:rFonts w:ascii="Calibri" w:hAnsi="Calibri"/>
          <w:b/>
          <w:color w:val="565F6C"/>
          <w:sz w:val="19"/>
        </w:rPr>
        <w:t>Source : Product Talk</w:t>
      </w:r>
    </w:p>
    <w:p>
      <w:pPr>
        <w:spacing w:after="80" w:line="264" w:lineRule="auto"/>
      </w:pPr>
      <w:hyperlink r:id="rId13">
        <w:r>
          <w:rPr>
            <w:color w:val="0563C1"/>
            <w:u w:val="single"/>
          </w:rPr>
          <w:t>https://www.producttalk.org/ai-evals/</w:t>
        </w:r>
      </w:hyperlink>
    </w:p>
    <w:p>
      <w:pPr>
        <w:pStyle w:val="ListBullet"/>
        <w:spacing w:after="80"/>
      </w:pPr>
      <w:r>
        <w:rPr>
          <w:rFonts w:ascii="Calibri" w:hAnsi="Calibri"/>
          <w:sz w:val="21"/>
        </w:rPr>
        <w:t>AI evals tell you whether your AI product or workflow is any good.</w:t>
      </w:r>
    </w:p>
    <w:p>
      <w:pPr>
        <w:pStyle w:val="Heading3"/>
        <w:pBdr>
          <w:left w:val="single" w:sz="28" w:space="8" w:color="005B96"/>
        </w:pBdr>
      </w:pPr>
      <w:r>
        <w:rPr>
          <w:rFonts w:ascii="Calibri" w:hAnsi="Calibri"/>
          <w:b/>
          <w:color w:val="0B2545"/>
          <w:sz w:val="23"/>
        </w:rPr>
        <w:t>4. Build To Learn FAQ</w:t>
      </w:r>
    </w:p>
    <w:p>
      <w:pPr>
        <w:spacing w:after="40" w:line="264" w:lineRule="auto"/>
      </w:pPr>
      <w:r>
        <w:rPr>
          <w:rFonts w:ascii="Calibri" w:hAnsi="Calibri"/>
          <w:b/>
          <w:color w:val="565F6C"/>
          <w:sz w:val="19"/>
        </w:rPr>
        <w:t>Source : SVPG</w:t>
      </w:r>
    </w:p>
    <w:p>
      <w:pPr>
        <w:spacing w:after="80" w:line="264" w:lineRule="auto"/>
      </w:pPr>
      <w:hyperlink r:id="rId14">
        <w:r>
          <w:rPr>
            <w:color w:val="0563C1"/>
            <w:u w:val="single"/>
          </w:rPr>
          <w:t>https://www.svpg.com/build-to-learn-faq/</w:t>
        </w:r>
      </w:hyperlink>
    </w:p>
    <w:p>
      <w:pPr>
        <w:pStyle w:val="ListBullet"/>
        <w:spacing w:after="80"/>
      </w:pPr>
      <w:r>
        <w:rPr>
          <w:rFonts w:ascii="Calibri" w:hAnsi="Calibri"/>
          <w:sz w:val="21"/>
        </w:rPr>
        <w:t>we argued that especially in the age of AI, we are all builders, but that there is a very meaningful difference between building to learn (known as product discovery) versus building to earn (known as product delivery).</w:t>
      </w:r>
    </w:p>
    <w:p>
      <w:pPr>
        <w:pStyle w:val="Heading3"/>
        <w:pBdr>
          <w:left w:val="single" w:sz="28" w:space="8" w:color="005B96"/>
        </w:pBdr>
      </w:pPr>
      <w:r>
        <w:rPr>
          <w:rFonts w:ascii="Calibri" w:hAnsi="Calibri"/>
          <w:b/>
          <w:color w:val="0B2545"/>
          <w:sz w:val="23"/>
        </w:rPr>
        <w:t>5. Building AI for Women's Health: How Hertility Combined Bayesian Diagnosis and Scan Automation</w:t>
      </w:r>
    </w:p>
    <w:p>
      <w:pPr>
        <w:spacing w:after="40" w:line="264" w:lineRule="auto"/>
      </w:pPr>
      <w:r>
        <w:rPr>
          <w:rFonts w:ascii="Calibri" w:hAnsi="Calibri"/>
          <w:b/>
          <w:color w:val="565F6C"/>
          <w:sz w:val="19"/>
        </w:rPr>
        <w:t>Source : Product Talk</w:t>
      </w:r>
    </w:p>
    <w:p>
      <w:pPr>
        <w:spacing w:after="80" w:line="264" w:lineRule="auto"/>
      </w:pPr>
      <w:hyperlink r:id="rId15">
        <w:r>
          <w:rPr>
            <w:color w:val="0563C1"/>
            <w:u w:val="single"/>
          </w:rPr>
          <w:t>https://www.producttalk.org/building-ai-for-womens-health-how-hertility-combined-bayesian-diagnosis-and-scan-automation/</w:t>
        </w:r>
      </w:hyperlink>
    </w:p>
    <w:p>
      <w:pPr>
        <w:pStyle w:val="ListBullet"/>
        <w:spacing w:after="80"/>
      </w:pPr>
      <w:r>
        <w:rPr>
          <w:rFonts w:ascii="Calibri" w:hAnsi="Calibri"/>
          <w:sz w:val="21"/>
        </w:rPr>
        <w:t>How do you build trustworthy AI diagnostic tools in one of medicine's most historically under-researched areas? In this episode of Just Now Possible , Teresa Torres talks with Tulsi Patel (Director of Product and Technology), Lorna Brightmore (Head of.</w:t>
      </w:r>
    </w:p>
    <w:p>
      <w:pPr>
        <w:pStyle w:val="Heading3"/>
        <w:pBdr>
          <w:left w:val="single" w:sz="28" w:space="8" w:color="005B96"/>
        </w:pBdr>
      </w:pPr>
      <w:r>
        <w:rPr>
          <w:rFonts w:ascii="Calibri" w:hAnsi="Calibri"/>
          <w:b/>
          <w:color w:val="0B2545"/>
          <w:sz w:val="23"/>
        </w:rPr>
        <w:t>6. Building Reliable Agentic AI Systems</w:t>
      </w:r>
    </w:p>
    <w:p>
      <w:pPr>
        <w:spacing w:after="40" w:line="264" w:lineRule="auto"/>
      </w:pPr>
      <w:r>
        <w:rPr>
          <w:rFonts w:ascii="Calibri" w:hAnsi="Calibri"/>
          <w:b/>
          <w:color w:val="565F6C"/>
          <w:sz w:val="19"/>
        </w:rPr>
        <w:t>Source : Martin Fowler</w:t>
      </w:r>
    </w:p>
    <w:p>
      <w:pPr>
        <w:spacing w:after="80" w:line="264" w:lineRule="auto"/>
      </w:pPr>
      <w:hyperlink r:id="rId16">
        <w:r>
          <w:rPr>
            <w:color w:val="0563C1"/>
            <w:u w:val="single"/>
          </w:rPr>
          <w:t>https://martinfowler.com/articles/reliable-llm-bayer.html</w:t>
        </w:r>
      </w:hyperlink>
    </w:p>
    <w:p>
      <w:pPr>
        <w:pStyle w:val="ListBullet"/>
        <w:spacing w:after="80"/>
      </w:pPr>
      <w:r>
        <w:rPr>
          <w:rFonts w:ascii="Calibri" w:hAnsi="Calibri"/>
          <w:sz w:val="21"/>
        </w:rPr>
        <w:t>One of the most interesting projects my colleagues have done with LLMs has been building a system with Bayer to allow pharmaceutical researchers to query decades of information about studies buried in PDF reports.</w:t>
      </w:r>
    </w:p>
    <w:p>
      <w:pPr>
        <w:pStyle w:val="Heading3"/>
        <w:pBdr>
          <w:left w:val="single" w:sz="28" w:space="8" w:color="005B96"/>
        </w:pBdr>
      </w:pPr>
      <w:r>
        <w:rPr>
          <w:rFonts w:ascii="Calibri" w:hAnsi="Calibri"/>
          <w:b/>
          <w:color w:val="0B2545"/>
          <w:sz w:val="23"/>
        </w:rPr>
        <w:t>7. Fragments: August 24</w:t>
      </w:r>
    </w:p>
    <w:p>
      <w:pPr>
        <w:spacing w:after="40" w:line="264" w:lineRule="auto"/>
      </w:pPr>
      <w:r>
        <w:rPr>
          <w:rFonts w:ascii="Calibri" w:hAnsi="Calibri"/>
          <w:b/>
          <w:color w:val="565F6C"/>
          <w:sz w:val="19"/>
        </w:rPr>
        <w:t>Source : Martin Fowler</w:t>
      </w:r>
    </w:p>
    <w:p>
      <w:pPr>
        <w:spacing w:after="80" w:line="264" w:lineRule="auto"/>
      </w:pPr>
      <w:hyperlink r:id="rId17">
        <w:r>
          <w:rPr>
            <w:color w:val="0563C1"/>
            <w:u w:val="single"/>
          </w:rPr>
          <w:t>https://martinfowler.com/fragments/2026-08-24.html</w:t>
        </w:r>
      </w:hyperlink>
    </w:p>
    <w:p>
      <w:pPr>
        <w:pStyle w:val="ListBullet"/>
        <w:spacing w:after="80"/>
      </w:pPr>
      <w:r>
        <w:rPr>
          <w:rFonts w:ascii="Calibri" w:hAnsi="Calibri"/>
          <w:sz w:val="21"/>
        </w:rPr>
        <w:t>I was listening to Ezra Klein’s interview with Helen Toner about the recent OpenAI hack of Hugging Face and the subsequent discovery that there were swarms of agents inside OpenAI doing unsanctioned activities.</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Missions et opportunites</w:t>
      </w:r>
    </w:p>
    <w:p>
      <w:pPr>
        <w:pStyle w:val="Heading3"/>
        <w:pBdr>
          <w:left w:val="single" w:sz="28" w:space="8" w:color="005B96"/>
        </w:pBdr>
      </w:pPr>
      <w:r>
        <w:rPr>
          <w:rFonts w:ascii="Calibri" w:hAnsi="Calibri"/>
          <w:b/>
          <w:color w:val="0B2545"/>
          <w:sz w:val="23"/>
        </w:rPr>
        <w:t>1. Axysse - Offre d'emploi Chef de Projet Senior IT - Print, Transformation Digitale &amp; IA Générative Paris</w:t>
      </w:r>
    </w:p>
    <w:p>
      <w:pPr>
        <w:spacing w:after="40" w:line="264" w:lineRule="auto"/>
      </w:pPr>
      <w:r>
        <w:rPr>
          <w:rFonts w:ascii="Calibri" w:hAnsi="Calibri"/>
          <w:b/>
          <w:color w:val="565F6C"/>
          <w:sz w:val="19"/>
        </w:rPr>
        <w:t>Plateforme : free-work.com</w:t>
      </w:r>
    </w:p>
    <w:p>
      <w:pPr>
        <w:spacing w:after="80" w:line="264" w:lineRule="auto"/>
      </w:pPr>
      <w:hyperlink r:id="rId18">
        <w:r>
          <w:rPr>
            <w:color w:val="0563C1"/>
            <w:u w:val="single"/>
          </w:rPr>
          <w:t>https://www.free-work.com/fr/tech-it/job-mission/assistant-chef-de-projet/chef-de-projet-senior-it-transformation-digitale-ia-generative</w:t>
        </w:r>
      </w:hyperlink>
    </w:p>
    <w:p>
      <w:pPr>
        <w:pStyle w:val="ListBullet"/>
        <w:spacing w:after="80"/>
      </w:pPr>
      <w:r>
        <w:rPr>
          <w:rFonts w:ascii="Calibri" w:hAnsi="Calibri"/>
          <w:sz w:val="21"/>
        </w:rPr>
        <w:t>L’objectif Pour le compte d’un grand groupe international, au sein de la Direction de la Marque, votre rôle consiste à piloter.</w:t>
      </w:r>
    </w:p>
    <w:p>
      <w:pPr>
        <w:pStyle w:val="Heading3"/>
        <w:pBdr>
          <w:left w:val="single" w:sz="28" w:space="8" w:color="005B96"/>
        </w:pBdr>
      </w:pPr>
      <w:r>
        <w:rPr>
          <w:rFonts w:ascii="Calibri" w:hAnsi="Calibri"/>
          <w:b/>
          <w:color w:val="0B2545"/>
          <w:sz w:val="23"/>
        </w:rPr>
        <w:t>2. INFOTEL CONSEIL - Offre d'emploi Product Owner Data Niort</w:t>
      </w:r>
    </w:p>
    <w:p>
      <w:pPr>
        <w:spacing w:after="40" w:line="264" w:lineRule="auto"/>
      </w:pPr>
      <w:r>
        <w:rPr>
          <w:rFonts w:ascii="Calibri" w:hAnsi="Calibri"/>
          <w:b/>
          <w:color w:val="565F6C"/>
          <w:sz w:val="19"/>
        </w:rPr>
        <w:t>Plateforme : free-work.com</w:t>
      </w:r>
    </w:p>
    <w:p>
      <w:pPr>
        <w:spacing w:after="80" w:line="264" w:lineRule="auto"/>
      </w:pPr>
      <w:hyperlink r:id="rId19">
        <w:r>
          <w:rPr>
            <w:color w:val="0563C1"/>
            <w:u w:val="single"/>
          </w:rPr>
          <w:t>https://www.free-work.com/fr/tech-it/job-mission/product-owner/product-owner-data-173</w:t>
        </w:r>
      </w:hyperlink>
    </w:p>
    <w:p>
      <w:pPr>
        <w:pStyle w:val="ListBullet"/>
        <w:spacing w:after="80"/>
      </w:pPr>
      <w:r>
        <w:rPr>
          <w:rFonts w:ascii="Calibri" w:hAnsi="Calibri"/>
          <w:sz w:val="21"/>
        </w:rPr>
        <w:t>Présence sur site à Niort 3 jours par semaine.</w:t>
      </w:r>
    </w:p>
    <w:p>
      <w:pPr>
        <w:pStyle w:val="Heading3"/>
        <w:pBdr>
          <w:left w:val="single" w:sz="28" w:space="8" w:color="005B96"/>
        </w:pBdr>
      </w:pPr>
      <w:r>
        <w:rPr>
          <w:rFonts w:ascii="Calibri" w:hAnsi="Calibri"/>
          <w:b/>
          <w:color w:val="0B2545"/>
          <w:sz w:val="23"/>
        </w:rPr>
        <w:t>3. WE + - Mission freelance Product Owner Observabilité / Dynatrace Paris</w:t>
      </w:r>
    </w:p>
    <w:p>
      <w:pPr>
        <w:spacing w:after="40" w:line="264" w:lineRule="auto"/>
      </w:pPr>
      <w:r>
        <w:rPr>
          <w:rFonts w:ascii="Calibri" w:hAnsi="Calibri"/>
          <w:b/>
          <w:color w:val="565F6C"/>
          <w:sz w:val="19"/>
        </w:rPr>
        <w:t>Plateforme : free-work.com</w:t>
      </w:r>
    </w:p>
    <w:p>
      <w:pPr>
        <w:spacing w:after="80" w:line="264" w:lineRule="auto"/>
      </w:pPr>
      <w:hyperlink r:id="rId20">
        <w:r>
          <w:rPr>
            <w:color w:val="0563C1"/>
            <w:u w:val="single"/>
          </w:rPr>
          <w:t>https://www.free-work.com/fr/tech-it/job-mission/product-owner/product-owner-observabilite-dynatrace</w:t>
        </w:r>
      </w:hyperlink>
    </w:p>
    <w:p>
      <w:pPr>
        <w:pStyle w:val="ListBullet"/>
        <w:spacing w:after="80"/>
      </w:pPr>
      <w:r>
        <w:rPr>
          <w:rFonts w:ascii="Calibri" w:hAnsi="Calibri"/>
          <w:sz w:val="21"/>
        </w:rPr>
        <w:t>Dans le cadre du renforcement de nos équipes, nous recherchons un(e) Product Owner spécialisé(e) en Observabilité / APM , avec une.</w:t>
      </w:r>
    </w:p>
    <w:p>
      <w:pPr>
        <w:pStyle w:val="Heading3"/>
        <w:pBdr>
          <w:left w:val="single" w:sz="28" w:space="8" w:color="005B96"/>
        </w:pBdr>
      </w:pPr>
      <w:r>
        <w:rPr>
          <w:rFonts w:ascii="Calibri" w:hAnsi="Calibri"/>
          <w:b/>
          <w:color w:val="0B2545"/>
          <w:sz w:val="23"/>
        </w:rPr>
        <w:t>4. WINDJ - Mission freelance Chef de projet / Gestion des certificats SSL Bouches-du-Rhône</w:t>
      </w:r>
    </w:p>
    <w:p>
      <w:pPr>
        <w:spacing w:after="40" w:line="264" w:lineRule="auto"/>
      </w:pPr>
      <w:r>
        <w:rPr>
          <w:rFonts w:ascii="Calibri" w:hAnsi="Calibri"/>
          <w:b/>
          <w:color w:val="565F6C"/>
          <w:sz w:val="19"/>
        </w:rPr>
        <w:t>Plateforme : free-work.com</w:t>
      </w:r>
    </w:p>
    <w:p>
      <w:pPr>
        <w:spacing w:after="80" w:line="264" w:lineRule="auto"/>
      </w:pPr>
      <w:hyperlink r:id="rId21">
        <w:r>
          <w:rPr>
            <w:color w:val="0563C1"/>
            <w:u w:val="single"/>
          </w:rPr>
          <w:t>https://www.free-work.com/fr/tech-it/job-mission/assistant-chef-de-projet/chef-de-projet-gestion-des-certificats-ssl-h-f</w:t>
        </w:r>
      </w:hyperlink>
    </w:p>
    <w:p>
      <w:pPr>
        <w:pStyle w:val="ListBullet"/>
        <w:spacing w:after="80"/>
      </w:pPr>
      <w:r>
        <w:rPr>
          <w:rFonts w:ascii="Calibri" w:hAnsi="Calibri"/>
          <w:sz w:val="21"/>
        </w:rPr>
        <w:t>Dans le cadre de la finalisation d’un projet de migration et d’automatisation de la gestion des certificats SSL , nous recherchons.</w:t>
      </w:r>
    </w:p>
    <w:p>
      <w:pPr>
        <w:pStyle w:val="Heading3"/>
        <w:pBdr>
          <w:left w:val="single" w:sz="28" w:space="8" w:color="005B96"/>
        </w:pBdr>
      </w:pPr>
      <w:r>
        <w:rPr>
          <w:rFonts w:ascii="Calibri" w:hAnsi="Calibri"/>
          <w:b/>
          <w:color w:val="0B2545"/>
          <w:sz w:val="23"/>
        </w:rPr>
        <w:t>5. Byrongroup - Mission freelance Product Owner / Business Analyst Île-de-France</w:t>
      </w:r>
    </w:p>
    <w:p>
      <w:pPr>
        <w:spacing w:after="40" w:line="264" w:lineRule="auto"/>
      </w:pPr>
      <w:r>
        <w:rPr>
          <w:rFonts w:ascii="Calibri" w:hAnsi="Calibri"/>
          <w:b/>
          <w:color w:val="565F6C"/>
          <w:sz w:val="19"/>
        </w:rPr>
        <w:t>Plateforme : free-work.com</w:t>
      </w:r>
    </w:p>
    <w:p>
      <w:pPr>
        <w:spacing w:after="80" w:line="264" w:lineRule="auto"/>
      </w:pPr>
      <w:hyperlink r:id="rId22">
        <w:r>
          <w:rPr>
            <w:color w:val="0563C1"/>
            <w:u w:val="single"/>
          </w:rPr>
          <w:t>https://www.free-work.com/fr/tech-it/job-mission/business-analyst/product-owner-business-analyst-16</w:t>
        </w:r>
      </w:hyperlink>
    </w:p>
    <w:p>
      <w:pPr>
        <w:pStyle w:val="ListBullet"/>
        <w:spacing w:after="80"/>
      </w:pPr>
      <w:r>
        <w:rPr>
          <w:rFonts w:ascii="Calibri" w:hAnsi="Calibri"/>
          <w:sz w:val="21"/>
        </w:rPr>
        <w:t>Vous disposez d’au moins 2 à 3 ans d’expérience sur un poste de Product Owner, PPO, Business Analyst ou QA fonctionnel.</w:t>
      </w:r>
    </w:p>
    <w:p>
      <w:pPr>
        <w:pStyle w:val="Heading1"/>
        <w:pBdr>
          <w:left w:val="single" w:sz="28" w:space="8" w:color="005B96"/>
        </w:pBdr>
      </w:pPr>
      <w:r>
        <w:rPr>
          <w:rFonts w:ascii="Calibri" w:hAnsi="Calibri"/>
          <w:b/>
          <w:color w:val="0B2545"/>
          <w:sz w:val="30"/>
        </w:rPr>
        <w:t>4. Ressources et methodes</w:t>
      </w:r>
    </w:p>
    <w:p>
      <w:pPr>
        <w:pStyle w:val="Heading3"/>
        <w:pBdr>
          <w:left w:val="single" w:sz="28" w:space="8" w:color="005B96"/>
        </w:pBdr>
      </w:pPr>
      <w:r>
        <w:rPr>
          <w:rFonts w:ascii="Calibri" w:hAnsi="Calibri"/>
          <w:b/>
          <w:color w:val="0B2545"/>
          <w:sz w:val="23"/>
        </w:rPr>
        <w:t>Shape Up</w:t>
      </w:r>
    </w:p>
    <w:p>
      <w:pPr>
        <w:pStyle w:val="ListBullet"/>
        <w:spacing w:after="80"/>
      </w:pPr>
      <w:r>
        <w:rPr>
          <w:rFonts w:ascii="Calibri" w:hAnsi="Calibri"/>
          <w:sz w:val="21"/>
        </w:rPr>
        <w:t>Methode Basecamp pour cadrer, parier et livrer des cycles produits avec un appetit de temps clair.</w:t>
      </w:r>
    </w:p>
    <w:p>
      <w:pPr>
        <w:pStyle w:val="ListBullet"/>
        <w:spacing w:after="80"/>
      </w:pPr>
      <w:r>
        <w:rPr>
          <w:rFonts w:ascii="Calibri" w:hAnsi="Calibri"/>
          <w:sz w:val="21"/>
        </w:rPr>
        <w:t>Interet pour les clients : Aide les organisations a sortir des backlogs infinis et a mieux cadrer les paris produit.</w:t>
      </w:r>
    </w:p>
    <w:p>
      <w:pPr>
        <w:pStyle w:val="ListBullet"/>
        <w:spacing w:after="80"/>
      </w:pPr>
      <w:r>
        <w:rPr>
          <w:rFonts w:ascii="Calibri" w:hAnsi="Calibri"/>
          <w:sz w:val="21"/>
        </w:rPr>
        <w:t>Quand l'utiliser : Cadrage de problemes, scopes variables, cycles de delivery courts.</w:t>
      </w:r>
    </w:p>
    <w:p>
      <w:pPr>
        <w:pStyle w:val="ListBullet"/>
        <w:spacing w:after="80"/>
      </w:pPr>
      <w:r>
        <w:rPr>
          <w:rFonts w:ascii="Calibri" w:hAnsi="Calibri"/>
          <w:sz w:val="21"/>
        </w:rPr>
        <w:t>Comment en parler : Proposer un format de cadrage executive avant sprint ou pilote IA.</w:t>
      </w:r>
    </w:p>
    <w:p>
      <w:pPr>
        <w:spacing w:after="80" w:line="264" w:lineRule="auto"/>
      </w:pPr>
      <w:r>
        <w:rPr>
          <w:rFonts w:ascii="Calibri" w:hAnsi="Calibri"/>
          <w:b/>
          <w:color w:val="565F6C"/>
          <w:sz w:val="19"/>
        </w:rPr>
        <w:t xml:space="preserve">Source : </w:t>
      </w:r>
      <w:hyperlink r:id="rId23">
        <w:r>
          <w:rPr>
            <w:color w:val="0563C1"/>
            <w:u w:val="single"/>
          </w:rPr>
          <w:t>https://basecamp.com/shapeup</w:t>
        </w:r>
      </w:hyperlink>
    </w:p>
    <w:p>
      <w:pPr>
        <w:pStyle w:val="Heading3"/>
        <w:pBdr>
          <w:left w:val="single" w:sz="28" w:space="8" w:color="005B96"/>
        </w:pBdr>
      </w:pPr>
      <w:r>
        <w:rPr>
          <w:rFonts w:ascii="Calibri" w:hAnsi="Calibri"/>
          <w:b/>
          <w:color w:val="0B2545"/>
          <w:sz w:val="23"/>
        </w:rPr>
        <w:t>Scrum Guide - Product Goal</w:t>
      </w:r>
    </w:p>
    <w:p>
      <w:pPr>
        <w:pStyle w:val="ListBullet"/>
        <w:spacing w:after="80"/>
      </w:pPr>
      <w:r>
        <w:rPr>
          <w:rFonts w:ascii="Calibri" w:hAnsi="Calibri"/>
          <w:sz w:val="21"/>
        </w:rPr>
        <w:t>Reference officielle Scrum recentrant l'equipe sur Product Goal, Sprint Goal et Definition of Done.</w:t>
      </w:r>
    </w:p>
    <w:p>
      <w:pPr>
        <w:pStyle w:val="ListBullet"/>
        <w:spacing w:after="80"/>
      </w:pPr>
      <w:r>
        <w:rPr>
          <w:rFonts w:ascii="Calibri" w:hAnsi="Calibri"/>
          <w:sz w:val="21"/>
        </w:rPr>
        <w:t>Interet pour les clients : Permet de distinguer agilité utile et ceremonies sans impact.</w:t>
      </w:r>
    </w:p>
    <w:p>
      <w:pPr>
        <w:pStyle w:val="ListBullet"/>
        <w:spacing w:after="80"/>
      </w:pPr>
      <w:r>
        <w:rPr>
          <w:rFonts w:ascii="Calibri" w:hAnsi="Calibri"/>
          <w:sz w:val="21"/>
        </w:rPr>
        <w:t>Quand l'utiliser : Audit agile, clarification du role PO, evaluation de la valeur livree.</w:t>
      </w:r>
    </w:p>
    <w:p>
      <w:pPr>
        <w:pStyle w:val="ListBullet"/>
        <w:spacing w:after="80"/>
      </w:pPr>
      <w:r>
        <w:rPr>
          <w:rFonts w:ascii="Calibri" w:hAnsi="Calibri"/>
          <w:sz w:val="21"/>
        </w:rPr>
        <w:t>Comment en parler : Argumentaire pour offres de remise a plat delivery/product.</w:t>
      </w:r>
    </w:p>
    <w:p>
      <w:pPr>
        <w:spacing w:after="80" w:line="264" w:lineRule="auto"/>
      </w:pPr>
      <w:r>
        <w:rPr>
          <w:rFonts w:ascii="Calibri" w:hAnsi="Calibri"/>
          <w:b/>
          <w:color w:val="565F6C"/>
          <w:sz w:val="19"/>
        </w:rPr>
        <w:t xml:space="preserve">Source : </w:t>
      </w:r>
      <w:hyperlink r:id="rId24">
        <w:r>
          <w:rPr>
            <w:color w:val="0563C1"/>
            <w:u w:val="single"/>
          </w:rPr>
          <w:t>https://scrumguides.org/scrum-guide.html</w:t>
        </w:r>
      </w:hyperlink>
    </w:p>
    <w:p>
      <w:pPr>
        <w:pStyle w:val="Heading3"/>
        <w:pBdr>
          <w:left w:val="single" w:sz="28" w:space="8" w:color="005B96"/>
        </w:pBdr>
      </w:pPr>
      <w:r>
        <w:rPr>
          <w:rFonts w:ascii="Calibri" w:hAnsi="Calibri"/>
          <w:b/>
          <w:color w:val="0B2545"/>
          <w:sz w:val="23"/>
        </w:rPr>
        <w:t>Freelance SASU - Optimisation fiscale et sociale</w:t>
      </w:r>
    </w:p>
    <w:p>
      <w:pPr>
        <w:pStyle w:val="ListBullet"/>
        <w:spacing w:after="80"/>
      </w:pPr>
      <w:r>
        <w:rPr>
          <w:rFonts w:ascii="Calibri" w:hAnsi="Calibri"/>
          <w:sz w:val="21"/>
        </w:rPr>
        <w:t>Cadre legal et fiscal de la SASU : responsabilite limitee au capital, cotisations sociales sur salaire, dividendes, TVA franchise en deça de 37 500EUR de CA.</w:t>
      </w:r>
    </w:p>
    <w:p>
      <w:pPr>
        <w:pStyle w:val="ListBullet"/>
        <w:spacing w:after="80"/>
      </w:pPr>
      <w:r>
        <w:rPr>
          <w:rFonts w:ascii="Calibri" w:hAnsi="Calibri"/>
          <w:sz w:val="21"/>
        </w:rPr>
        <w:t>Interet pour les clients : Permet de conseiller des dirigeants de PME sur le statut SASU vs EI vs EURL et d'identifier les leviers d'optimisation.</w:t>
      </w:r>
    </w:p>
    <w:p>
      <w:pPr>
        <w:pStyle w:val="ListBullet"/>
        <w:spacing w:after="80"/>
      </w:pPr>
      <w:r>
        <w:rPr>
          <w:rFonts w:ascii="Calibri" w:hAnsi="Calibri"/>
          <w:sz w:val="21"/>
        </w:rPr>
        <w:t>Quand l'utiliser : Clients dirigeants de PME/ETI en freelance ou portage. Sujet recurrent dans les echanges coachings.</w:t>
      </w:r>
    </w:p>
    <w:p>
      <w:pPr>
        <w:pStyle w:val="ListBullet"/>
        <w:spacing w:after="80"/>
      </w:pPr>
      <w:r>
        <w:rPr>
          <w:rFonts w:ascii="Calibri" w:hAnsi="Calibri"/>
          <w:sz w:val="21"/>
        </w:rPr>
        <w:t>Comment en parler : Argumentaire pour missions de conseil strategique aupres de dirigeants de PME.</w:t>
      </w:r>
    </w:p>
    <w:p>
      <w:pPr>
        <w:spacing w:after="80" w:line="264" w:lineRule="auto"/>
      </w:pPr>
      <w:r>
        <w:rPr>
          <w:rFonts w:ascii="Calibri" w:hAnsi="Calibri"/>
          <w:b/>
          <w:color w:val="565F6C"/>
          <w:sz w:val="19"/>
        </w:rPr>
        <w:t xml:space="preserve">Source : </w:t>
      </w:r>
      <w:hyperlink r:id="rId25">
        <w:r>
          <w:rPr>
            <w:color w:val="0563C1"/>
            <w:u w:val="single"/>
          </w:rPr>
          <w:t>https://www.legifrance.gouv.fr/codes/section_lc/LEGITEXT000006069565/LEGISCTA000006191753/</w:t>
        </w:r>
      </w:hyperlink>
    </w:p>
    <w:p>
      <w:pPr>
        <w:pStyle w:val="Heading3"/>
        <w:pBdr>
          <w:left w:val="single" w:sz="28" w:space="8" w:color="005B96"/>
        </w:pBdr>
      </w:pPr>
      <w:r>
        <w:rPr>
          <w:rFonts w:ascii="Calibri" w:hAnsi="Calibri"/>
          <w:b/>
          <w:color w:val="0B2545"/>
          <w:sz w:val="23"/>
        </w:rPr>
        <w:t>Continuous Discovery</w:t>
      </w:r>
    </w:p>
    <w:p>
      <w:pPr>
        <w:pStyle w:val="ListBullet"/>
        <w:spacing w:after="80"/>
      </w:pPr>
      <w:r>
        <w:rPr>
          <w:rFonts w:ascii="Calibri" w:hAnsi="Calibri"/>
          <w:sz w:val="21"/>
        </w:rPr>
        <w:t>Pratique continue d'apprentissage client qui relie interviews, hypotheses, opportunites et experiments.</w:t>
      </w:r>
    </w:p>
    <w:p>
      <w:pPr>
        <w:pStyle w:val="ListBullet"/>
        <w:spacing w:after="80"/>
      </w:pPr>
      <w:r>
        <w:rPr>
          <w:rFonts w:ascii="Calibri" w:hAnsi="Calibri"/>
          <w:sz w:val="21"/>
        </w:rPr>
        <w:t>Interet pour les clients : Reduit le risque de construire des solutions non adoptees et accelere les arbitrages produit.</w:t>
      </w:r>
    </w:p>
    <w:p>
      <w:pPr>
        <w:pStyle w:val="ListBullet"/>
        <w:spacing w:after="80"/>
      </w:pPr>
      <w:r>
        <w:rPr>
          <w:rFonts w:ascii="Calibri" w:hAnsi="Calibri"/>
          <w:sz w:val="21"/>
        </w:rPr>
        <w:t>Quand l'utiliser : Ateliers discovery, structuration d'entretiens clients, priorisation des hypotheses.</w:t>
      </w:r>
    </w:p>
    <w:p>
      <w:pPr>
        <w:pStyle w:val="ListBullet"/>
        <w:spacing w:after="80"/>
      </w:pPr>
      <w:r>
        <w:rPr>
          <w:rFonts w:ascii="Calibri" w:hAnsi="Calibri"/>
          <w:sz w:val="21"/>
        </w:rPr>
        <w:t>Comment en parler : Packager un atelier de cadrage avant build pour equipes produit, metiers ou IA.</w:t>
      </w:r>
    </w:p>
    <w:p>
      <w:pPr>
        <w:spacing w:after="80" w:line="264" w:lineRule="auto"/>
      </w:pPr>
      <w:r>
        <w:rPr>
          <w:rFonts w:ascii="Calibri" w:hAnsi="Calibri"/>
          <w:b/>
          <w:color w:val="565F6C"/>
          <w:sz w:val="19"/>
        </w:rPr>
        <w:t xml:space="preserve">Source : </w:t>
      </w:r>
      <w:hyperlink r:id="rId26">
        <w:r>
          <w:rPr>
            <w:color w:val="0563C1"/>
            <w:u w:val="single"/>
          </w:rPr>
          <w:t>https://www.producttalk.org/continuous-discovery-habits/</w:t>
        </w:r>
      </w:hyperlink>
    </w:p>
    <w:p>
      <w:pPr>
        <w:pStyle w:val="Heading1"/>
        <w:pBdr>
          <w:left w:val="single" w:sz="28" w:space="8" w:color="005B96"/>
        </w:pBdr>
      </w:pPr>
      <w:r>
        <w:rPr>
          <w:rFonts w:ascii="Calibri" w:hAnsi="Calibri"/>
          <w:b/>
          <w:color w:val="0B2545"/>
          <w:sz w:val="30"/>
        </w:rPr>
        <w:t>5. Priorites de la semaine</w:t>
      </w:r>
    </w:p>
    <w:p>
      <w:pPr>
        <w:pStyle w:val="ListBullet"/>
        <w:spacing w:after="80"/>
      </w:pPr>
      <w:r>
        <w:rPr>
          <w:rFonts w:ascii="Calibri" w:hAnsi="Calibri"/>
          <w:sz w:val="21"/>
        </w:rPr>
        <w:t>A qualifier en premier : Axysse - Offre d'emploi Chef de Projet Senior IT - Print, Transformation Digitale &amp; IA Générative Paris.</w:t>
      </w:r>
    </w:p>
    <w:p>
      <w:pPr>
        <w:pStyle w:val="ListBullet"/>
        <w:spacing w:after="80"/>
      </w:pPr>
      <w:r>
        <w:rPr>
          <w:rFonts w:ascii="Calibri" w:hAnsi="Calibri"/>
          <w:sz w:val="21"/>
        </w:rPr>
        <w:t>Article a garder sous le coude pour tes prochains echanges : 'Fragments: September 8'.</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7. TokenForge Watch - Revue de presse des couts IA</w:t>
      </w:r>
    </w:p>
    <w:p>
      <w:pPr>
        <w:spacing w:before="80" w:after="160" w:line="264" w:lineRule="auto"/>
      </w:pPr>
      <w:r>
        <w:rPr>
          <w:rFonts w:ascii="Calibri" w:hAnsi="Calibri"/>
          <w:b w:val="0"/>
          <w:i/>
          <w:color w:val="565F6C"/>
          <w:sz w:val="19"/>
        </w:rPr>
        <w:t>Actualites, outils et mouvements de marche sur la reduction des factures IA en entreprise.</w:t>
      </w:r>
    </w:p>
    <w:p>
      <w:pPr>
        <w:pStyle w:val="Heading2"/>
        <w:pBdr>
          <w:left w:val="single" w:sz="28" w:space="8" w:color="005B96"/>
        </w:pBdr>
      </w:pPr>
      <w:r>
        <w:rPr>
          <w:rFonts w:ascii="Calibri" w:hAnsi="Calibri"/>
          <w:b/>
          <w:color w:val="0B2545"/>
          <w:sz w:val="25"/>
        </w:rPr>
        <w:t>B. Outils et initiatives open source</w:t>
      </w:r>
    </w:p>
    <w:p>
      <w:pPr>
        <w:spacing w:after="40" w:line="264" w:lineRule="auto"/>
      </w:pPr>
      <w:r>
        <w:rPr>
          <w:rFonts w:ascii="Calibri" w:hAnsi="Calibri"/>
          <w:b/>
          <w:color w:val="0B2545"/>
          <w:sz w:val="20"/>
        </w:rPr>
        <w:t xml:space="preserve">OpenAI | Research &amp; Deployment </w:t>
      </w:r>
      <w:r>
        <w:rPr>
          <w:rFonts w:ascii="Calibri" w:hAnsi="Calibri"/>
          <w:color w:val="565F6C"/>
          <w:sz w:val="18"/>
        </w:rPr>
        <w:t xml:space="preserve">View more Path to Astra: critical capabilities and frontier safeguards Safety Sep 1, 2026 Jalapeño’s first results show industry-leading speed and efficiency in AI inference Engineering Aug 25, 2026 Pacing model development in an era of cyber-critical capabilities Company Aug 18, 2026. </w:t>
      </w:r>
      <w:hyperlink r:id="rId27">
        <w:r>
          <w:rPr>
            <w:color w:val="0563C1"/>
            <w:u w:val="single"/>
          </w:rPr>
          <w:t>https://openai.com/</w:t>
        </w:r>
      </w:hyperlink>
    </w:p>
    <w:p>
      <w:pPr>
        <w:spacing w:after="40" w:line="264" w:lineRule="auto"/>
      </w:pPr>
      <w:r>
        <w:rPr>
          <w:rFonts w:ascii="Calibri" w:hAnsi="Calibri"/>
          <w:b/>
          <w:color w:val="0B2545"/>
          <w:sz w:val="20"/>
        </w:rPr>
        <w:t xml:space="preserve">Free Models Router - API Pricing &amp; Providers | OpenRouter </w:t>
      </w:r>
      <w:r>
        <w:rPr>
          <w:rFonts w:ascii="Calibri" w:hAnsi="Calibri"/>
          <w:color w:val="565F6C"/>
          <w:sz w:val="18"/>
        </w:rPr>
        <w:t xml:space="preserve">The simplest way to get free inference. </w:t>
      </w:r>
      <w:hyperlink r:id="rId28">
        <w:r>
          <w:rPr>
            <w:color w:val="0563C1"/>
            <w:u w:val="single"/>
          </w:rPr>
          <w:t>https://openrouter.ai/openrouter/free</w:t>
        </w:r>
      </w:hyperlink>
    </w:p>
    <w:p>
      <w:pPr>
        <w:spacing w:after="40" w:line="264" w:lineRule="auto"/>
      </w:pPr>
      <w:r>
        <w:rPr>
          <w:rFonts w:ascii="Calibri" w:hAnsi="Calibri"/>
          <w:b/>
          <w:color w:val="0B2545"/>
          <w:sz w:val="20"/>
        </w:rPr>
        <w:t xml:space="preserve">Pricing | OpenRouter </w:t>
      </w:r>
      <w:r>
        <w:rPr>
          <w:rFonts w:ascii="Calibri" w:hAnsi="Calibri"/>
          <w:color w:val="565F6C"/>
          <w:sz w:val="18"/>
        </w:rPr>
        <w:t xml:space="preserve">Transparent pricing for OpenRouter. </w:t>
      </w:r>
      <w:hyperlink r:id="rId29">
        <w:r>
          <w:rPr>
            <w:color w:val="0563C1"/>
            <w:u w:val="single"/>
          </w:rPr>
          <w:t>https://openrouter.ai/pricing</w:t>
        </w:r>
      </w:hyperlink>
    </w:p>
    <w:p>
      <w:pPr>
        <w:spacing w:after="40" w:line="264" w:lineRule="auto"/>
      </w:pPr>
      <w:r>
        <w:rPr>
          <w:rFonts w:ascii="Calibri" w:hAnsi="Calibri"/>
          <w:b/>
          <w:color w:val="0B2545"/>
          <w:sz w:val="20"/>
        </w:rPr>
        <w:t xml:space="preserve">EUR/USD Converter - Euro to US Dollar Live Exchange Rate </w:t>
      </w:r>
      <w:r>
        <w:rPr>
          <w:rFonts w:ascii="Calibri" w:hAnsi="Calibri"/>
          <w:color w:val="565F6C"/>
          <w:sz w:val="18"/>
        </w:rPr>
        <w:t xml:space="preserve">The live EUR/USD exchange rate is 1.16485 (Euro to US Dollar), updated in real time. </w:t>
      </w:r>
      <w:hyperlink r:id="rId30">
        <w:r>
          <w:rPr>
            <w:color w:val="0563C1"/>
            <w:u w:val="single"/>
          </w:rPr>
          <w:t>https://www.live-rates.com/rates/eur-usd</w:t>
        </w:r>
      </w:hyperlink>
    </w:p>
    <w:p>
      <w:pPr>
        <w:spacing w:after="40" w:line="264" w:lineRule="auto"/>
      </w:pPr>
      <w:r>
        <w:rPr>
          <w:rFonts w:ascii="Calibri" w:hAnsi="Calibri"/>
          <w:b/>
          <w:color w:val="0B2545"/>
          <w:sz w:val="20"/>
        </w:rPr>
        <w:t xml:space="preserve">Igm Financial Inc. (IGM-T) Stock Price and News </w:t>
      </w:r>
      <w:r>
        <w:rPr>
          <w:rFonts w:ascii="Calibri" w:hAnsi="Calibri"/>
          <w:color w:val="565F6C"/>
          <w:sz w:val="18"/>
        </w:rPr>
        <w:t xml:space="preserve">Real-time Price Updates for Igm Financial Inc. </w:t>
      </w:r>
      <w:hyperlink r:id="rId31">
        <w:r>
          <w:rPr>
            <w:color w:val="0563C1"/>
            <w:u w:val="single"/>
          </w:rPr>
          <w:t>https://www.theglobeandmail.com/investing/markets/stocks/IGM-T/</w:t>
        </w:r>
      </w:hyperlink>
    </w:p>
    <w:p>
      <w:pPr>
        <w:spacing w:after="40" w:line="264" w:lineRule="auto"/>
      </w:pPr>
      <w:r>
        <w:rPr>
          <w:rFonts w:ascii="Calibri" w:hAnsi="Calibri"/>
          <w:b/>
          <w:color w:val="0B2545"/>
          <w:sz w:val="20"/>
        </w:rPr>
        <w:t xml:space="preserve">OpenRouter API and Models | OpenRouter </w:t>
      </w:r>
      <w:r>
        <w:rPr>
          <w:rFonts w:ascii="Calibri" w:hAnsi="Calibri"/>
          <w:color w:val="565F6C"/>
          <w:sz w:val="18"/>
        </w:rPr>
        <w:t xml:space="preserve">Access 25 OpenRouter models through the OpenRouter unified API including Auto Router (Beta), Fusion, and Owl Alpha. </w:t>
      </w:r>
      <w:hyperlink r:id="rId32">
        <w:r>
          <w:rPr>
            <w:color w:val="0563C1"/>
            <w:u w:val="single"/>
          </w:rPr>
          <w:t>https://openrouter.ai/openrouter</w:t>
        </w:r>
      </w:hyperlink>
    </w:p>
    <w:p>
      <w:pPr>
        <w:pStyle w:val="Heading2"/>
        <w:pBdr>
          <w:left w:val="single" w:sz="28" w:space="8" w:color="005B96"/>
        </w:pBdr>
      </w:pPr>
      <w:r>
        <w:rPr>
          <w:rFonts w:ascii="Calibri" w:hAnsi="Calibri"/>
          <w:b/>
          <w:color w:val="0B2545"/>
          <w:sz w:val="25"/>
        </w:rPr>
        <w:t>C. Ce que j'en retiens pour TokenForge</w:t>
      </w:r>
    </w:p>
    <w:p>
      <w:pPr>
        <w:pStyle w:val="ListBullet"/>
        <w:spacing w:after="80"/>
      </w:pPr>
      <w:r>
        <w:rPr>
          <w:rFonts w:ascii="Calibri" w:hAnsi="Calibri"/>
          <w:sz w:val="21"/>
        </w:rPr>
        <w:t>5 outil(s) de routage entre fournisseurs identifie(s) - a regarder pour basculer sur le provider le moins cher en temps reel.</w:t>
      </w:r>
    </w:p>
    <w:p>
      <w:pPr>
        <w:pStyle w:val="ListBullet"/>
        <w:spacing w:after="80"/>
      </w:pPr>
      <w:r>
        <w:rPr>
          <w:rFonts w:ascii="Calibri" w:hAnsi="Calibri"/>
          <w:sz w:val="21"/>
        </w:rPr>
        <w:t>1 source(s) sur la maitrise des couts IA - utile pour le volet conseil de TokenForge (tableau de bord couts, alertes, plafonds).</w:t>
      </w:r>
    </w:p>
    <w:p>
      <w:pPr>
        <w:pStyle w:val="ListBullet"/>
        <w:spacing w:after="80"/>
      </w:pPr>
      <w:r>
        <w:rPr>
          <w:rFonts w:ascii="Calibri" w:hAnsi="Calibri"/>
          <w:sz w:val="21"/>
        </w:rPr>
        <w:t>Prochaine etape : monter un petit comparatif des fournisseurs (OpenAI vs Anthropic vs Mistral vs Google) avec les prix token 2026 pour les clients TokenForge.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color w:val="565F6C"/>
        <w:sz w:val="18"/>
      </w:rPr>
      <w:t>ASTRA MOMENTUM | Rapport Hebdomadaire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rtinfowler.com/fragments/2026-09-08.html" TargetMode="External"/><Relationship Id="rId12" Type="http://schemas.openxmlformats.org/officeDocument/2006/relationships/hyperlink" Target="https://martinfowler.com/articles/making-data-ready-for-agentic-ai.html" TargetMode="External"/><Relationship Id="rId13" Type="http://schemas.openxmlformats.org/officeDocument/2006/relationships/hyperlink" Target="https://www.producttalk.org/ai-evals/" TargetMode="External"/><Relationship Id="rId14" Type="http://schemas.openxmlformats.org/officeDocument/2006/relationships/hyperlink" Target="https://www.svpg.com/build-to-learn-faq/" TargetMode="External"/><Relationship Id="rId15" Type="http://schemas.openxmlformats.org/officeDocument/2006/relationships/hyperlink" Target="https://www.producttalk.org/building-ai-for-womens-health-how-hertility-combined-bayesian-diagnosis-and-scan-automation/" TargetMode="External"/><Relationship Id="rId16" Type="http://schemas.openxmlformats.org/officeDocument/2006/relationships/hyperlink" Target="https://martinfowler.com/articles/reliable-llm-bayer.html" TargetMode="External"/><Relationship Id="rId17" Type="http://schemas.openxmlformats.org/officeDocument/2006/relationships/hyperlink" Target="https://martinfowler.com/fragments/2026-08-24.html" TargetMode="External"/><Relationship Id="rId18" Type="http://schemas.openxmlformats.org/officeDocument/2006/relationships/hyperlink" Target="https://www.free-work.com/fr/tech-it/job-mission/assistant-chef-de-projet/chef-de-projet-senior-it-transformation-digitale-ia-generative" TargetMode="External"/><Relationship Id="rId19" Type="http://schemas.openxmlformats.org/officeDocument/2006/relationships/hyperlink" Target="https://www.free-work.com/fr/tech-it/job-mission/product-owner/product-owner-data-173" TargetMode="External"/><Relationship Id="rId20" Type="http://schemas.openxmlformats.org/officeDocument/2006/relationships/hyperlink" Target="https://www.free-work.com/fr/tech-it/job-mission/product-owner/product-owner-observabilite-dynatrace" TargetMode="External"/><Relationship Id="rId21" Type="http://schemas.openxmlformats.org/officeDocument/2006/relationships/hyperlink" Target="https://www.free-work.com/fr/tech-it/job-mission/assistant-chef-de-projet/chef-de-projet-gestion-des-certificats-ssl-h-f" TargetMode="External"/><Relationship Id="rId22" Type="http://schemas.openxmlformats.org/officeDocument/2006/relationships/hyperlink" Target="https://www.free-work.com/fr/tech-it/job-mission/business-analyst/product-owner-business-analyst-16" TargetMode="External"/><Relationship Id="rId23" Type="http://schemas.openxmlformats.org/officeDocument/2006/relationships/hyperlink" Target="https://basecamp.com/shapeup" TargetMode="External"/><Relationship Id="rId24" Type="http://schemas.openxmlformats.org/officeDocument/2006/relationships/hyperlink" Target="https://scrumguides.org/scrum-guide.html" TargetMode="External"/><Relationship Id="rId25" Type="http://schemas.openxmlformats.org/officeDocument/2006/relationships/hyperlink" Target="https://www.legifrance.gouv.fr/codes/section_lc/LEGITEXT000006069565/LEGISCTA000006191753/" TargetMode="External"/><Relationship Id="rId26" Type="http://schemas.openxmlformats.org/officeDocument/2006/relationships/hyperlink" Target="https://www.producttalk.org/continuous-discovery-habits/" TargetMode="External"/><Relationship Id="rId27" Type="http://schemas.openxmlformats.org/officeDocument/2006/relationships/hyperlink" Target="https://openai.com/" TargetMode="External"/><Relationship Id="rId28" Type="http://schemas.openxmlformats.org/officeDocument/2006/relationships/hyperlink" Target="https://openrouter.ai/openrouter/free" TargetMode="External"/><Relationship Id="rId29" Type="http://schemas.openxmlformats.org/officeDocument/2006/relationships/hyperlink" Target="https://openrouter.ai/pricing" TargetMode="External"/><Relationship Id="rId30" Type="http://schemas.openxmlformats.org/officeDocument/2006/relationships/hyperlink" Target="https://www.live-rates.com/rates/eur-usd" TargetMode="External"/><Relationship Id="rId31" Type="http://schemas.openxmlformats.org/officeDocument/2006/relationships/hyperlink" Target="https://www.theglobeandmail.com/investing/markets/stocks/IGM-T/" TargetMode="External"/><Relationship Id="rId32" Type="http://schemas.openxmlformats.org/officeDocument/2006/relationships/hyperlink" Target="https://openrouter.ai/openro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Hebdomadaire ASTRA MOMENTUM</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