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64" w:lineRule="auto"/>
      </w:pPr>
      <w:r>
        <w:rPr>
          <w:rFonts w:ascii="Calibri" w:hAnsi="Calibri"/>
          <w:b/>
          <w:i w:val="0"/>
          <w:color w:val="0B2545"/>
          <w:sz w:val="46"/>
        </w:rPr>
        <w:t>COMPTE-RENDU DE RÉUNION</w:t>
      </w:r>
    </w:p>
    <w:p>
      <w:pPr>
        <w:spacing w:after="280" w:line="264" w:lineRule="auto"/>
      </w:pPr>
      <w:r>
        <w:rPr>
          <w:rFonts w:ascii="Calibri" w:hAnsi="Calibri"/>
          <w:b w:val="0"/>
          <w:i w:val="0"/>
          <w:color w:val="565F6C"/>
          <w:sz w:val="27"/>
        </w:rPr>
        <w:t>Point hebdo freelance - ASTRA MOMENTUM</w:t>
      </w:r>
    </w:p>
    <w:p>
      <w:pPr>
        <w:spacing w:after="40" w:line="264" w:lineRule="auto"/>
      </w:pPr>
      <w:r>
        <w:rPr>
          <w:rFonts w:ascii="Calibri" w:hAnsi="Calibri"/>
          <w:b/>
          <w:color w:val="000000"/>
        </w:rPr>
        <w:t xml:space="preserve">Autrice : </w:t>
      </w:r>
      <w:r>
        <w:rPr>
          <w:rFonts w:ascii="Calibri" w:hAnsi="Calibri"/>
          <w:color w:val="000000"/>
        </w:rPr>
        <w:t>Assistant IA SASU</w:t>
      </w:r>
    </w:p>
    <w:p>
      <w:pPr>
        <w:spacing w:after="240" w:line="264" w:lineRule="auto"/>
      </w:pPr>
      <w:r>
        <w:rPr>
          <w:rFonts w:ascii="Calibri" w:hAnsi="Calibri"/>
          <w:b/>
          <w:color w:val="000000"/>
        </w:rPr>
        <w:t xml:space="preserve">Date : </w:t>
      </w:r>
      <w:r>
        <w:rPr>
          <w:rFonts w:ascii="Calibri" w:hAnsi="Calibri"/>
          <w:color w:val="000000"/>
        </w:rPr>
        <w:t>2026-07-10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0"/>
        <w:gridCol w:w="4900"/>
      </w:tblGrid>
      <w:tr>
        <w:tc>
          <w:tcPr>
            <w:tcW w:type="dxa" w:w="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sz w:val="20"/>
              </w:rPr>
              <w:t>Client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sz w:val="20"/>
              </w:rPr>
              <w:t>ASTRA MOMENTUM</w:t>
            </w:r>
          </w:p>
        </w:tc>
      </w:tr>
      <w:tr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Projet</w:t>
            </w:r>
          </w:p>
        </w:tc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Point hebdo freelance</w:t>
            </w:r>
          </w:p>
        </w:tc>
      </w:tr>
      <w:tr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2026-07-10</w:t>
            </w:r>
          </w:p>
        </w:tc>
      </w:tr>
      <w:tr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Participants</w:t>
            </w:r>
          </w:p>
        </w:tc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Michael ASSAYAG, Virginie ASSAYAG</w:t>
            </w:r>
          </w:p>
        </w:tc>
      </w:tr>
      <w:tr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Durée</w:t>
            </w:r>
          </w:p>
        </w:tc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33 min</w:t>
            </w:r>
          </w:p>
        </w:tc>
      </w:tr>
      <w:tr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Rédigé le</w:t>
            </w:r>
          </w:p>
        </w:tc>
        <w:tc>
          <w:tcPr>
            <w:tcW w:type="dxa" w:w="4900"/>
          </w:tcPr>
          <w:p>
            <w:r>
              <w:rPr>
                <w:rFonts w:ascii="Calibri" w:hAnsi="Calibri"/>
                <w:sz w:val="20"/>
              </w:rPr>
              <w:t>2026-07-10</w:t>
            </w:r>
          </w:p>
        </w:tc>
      </w:tr>
    </w:tbl>
    <w:p>
      <w:pPr>
        <w:spacing w:after="160" w:line="264" w:lineRule="auto"/>
      </w:pPr>
    </w:p>
    <w:p>
      <w:pPr>
        <w:pStyle w:val="Heading1"/>
        <w:spacing w:line="264" w:lineRule="auto"/>
      </w:pPr>
      <w:r>
        <w:rPr>
          <w:rFonts w:ascii="Calibri" w:hAnsi="Calibri"/>
          <w:b w:val="0"/>
          <w:i w:val="0"/>
        </w:rPr>
        <w:t>1. Contexte et objectif</w:t>
      </w:r>
    </w:p>
    <w:p>
      <w:pPr>
        <w:spacing w:line="264" w:lineRule="auto"/>
      </w:pPr>
      <w:r>
        <w:rPr>
          <w:rFonts w:ascii="Calibri" w:hAnsi="Calibri"/>
          <w:b w:val="0"/>
          <w:i w:val="0"/>
        </w:rPr>
        <w:t>Point hebdomadaire du vendredi 10 juillet 2026 (12:34). Passage en revue du marché freelance, de l'écosystème et des actions en cours. Marché freelance: Écosystème freelance (outils, banques, compta, formations): Veille techno / Product / IA: Sujets divers:</w:t>
      </w:r>
    </w:p>
    <w:p>
      <w:pPr>
        <w:pStyle w:val="Heading1"/>
        <w:spacing w:line="264" w:lineRule="auto"/>
      </w:pPr>
      <w:r>
        <w:rPr>
          <w:rFonts w:ascii="Calibri" w:hAnsi="Calibri"/>
          <w:b w:val="0"/>
          <w:i w:val="0"/>
        </w:rPr>
        <w:t>2. Points abordés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Remarques:</w:t>
      </w:r>
    </w:p>
    <w:p>
      <w:pPr>
        <w:pStyle w:val="Heading1"/>
        <w:spacing w:line="264" w:lineRule="auto"/>
      </w:pPr>
      <w:r>
        <w:rPr>
          <w:rFonts w:ascii="Calibri" w:hAnsi="Calibri"/>
          <w:b w:val="0"/>
          <w:i w:val="0"/>
        </w:rPr>
        <w:t>3. Décisions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On continue la prospection ciblée sur les profils Head of Product et Directeur de projet IT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Priorité aux missions avec TJM &gt;= 650€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Vérifier la prochaine échéance TVA</w:t>
      </w:r>
    </w:p>
    <w:p>
      <w:pPr>
        <w:pStyle w:val="ListBullet"/>
        <w:spacing w:after="80"/>
      </w:pPr>
      <w:r>
        <w:rPr>
          <w:rFonts w:ascii="Calibri" w:hAnsi="Calibri"/>
          <w:sz w:val="21"/>
        </w:rPr>
        <w:t>Relancer les contacts qui n'ont pas répondu la semaine dernière</w:t>
      </w:r>
    </w:p>
    <w:p>
      <w:pPr>
        <w:pStyle w:val="Heading1"/>
        <w:spacing w:line="264" w:lineRule="auto"/>
      </w:pPr>
      <w:r>
        <w:rPr>
          <w:rFonts w:ascii="Calibri" w:hAnsi="Calibri"/>
          <w:b w:val="0"/>
          <w:i w:val="0"/>
        </w:rPr>
        <w:t>4. Actions et responsabilités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8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Action</w:t>
            </w:r>
          </w:p>
        </w:tc>
        <w:tc>
          <w:tcPr>
            <w:tcW w:type="dxa" w:w="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Responsable</w:t>
            </w:r>
          </w:p>
        </w:tc>
        <w:tc>
          <w:tcPr>
            <w:tcW w:type="dxa" w:w="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Échéance</w:t>
            </w:r>
          </w:p>
        </w:tc>
      </w:tr>
      <w:tr>
        <w:tc>
          <w:tcPr>
            <w:tcW w:type="dxa" w:w="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[Virginie] Mettre à jour le tableau de bord des factures</w:t>
            </w:r>
          </w:p>
        </w:tc>
        <w:tc>
          <w:tcPr>
            <w:tcW w:type="dxa" w:w="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Virginie</w:t>
            </w:r>
          </w:p>
        </w:tc>
        <w:tc>
          <w:tcPr>
            <w:tcW w:type="dxa" w:w="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Non spécifiée</w:t>
            </w:r>
          </w:p>
        </w:tc>
      </w:tr>
      <w:tr>
        <w:tc>
          <w:tcPr>
            <w:tcW w:type="dxa" w:w="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[Michael] Relancer les contacts en cours</w:t>
            </w:r>
          </w:p>
        </w:tc>
        <w:tc>
          <w:tcPr>
            <w:tcW w:type="dxa" w:w="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Michael</w:t>
            </w:r>
          </w:p>
        </w:tc>
        <w:tc>
          <w:tcPr>
            <w:tcW w:type="dxa" w:w="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Non spécifiée</w:t>
            </w:r>
          </w:p>
        </w:tc>
      </w:tr>
      <w:tr>
        <w:tc>
          <w:tcPr>
            <w:tcW w:type="dxa" w:w="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J'ai relu le CR de la semaine dernière, les actions sont toujours en cours.</w:t>
            </w:r>
          </w:p>
        </w:tc>
        <w:tc>
          <w:tcPr>
            <w:tcW w:type="dxa" w:w="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À définir</w:t>
            </w:r>
          </w:p>
        </w:tc>
        <w:tc>
          <w:tcPr>
            <w:tcW w:type="dxa" w:w="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Non spécifiée</w:t>
            </w:r>
          </w:p>
        </w:tc>
      </w:tr>
    </w:tbl>
    <w:sectPr w:rsidR="00FC693F" w:rsidRPr="0006063C" w:rsidSect="00034616">
      <w:pgSz w:w="12240" w:h="15840"/>
      <w:pgMar w:top="1140" w:right="1220" w:bottom="1140" w:left="12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