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64" w:lineRule="auto"/>
      </w:pPr>
      <w:r>
        <w:rPr>
          <w:rFonts w:ascii="Calibri" w:hAnsi="Calibri"/>
          <w:b/>
          <w:i w:val="0"/>
          <w:color w:val="0B2545"/>
          <w:sz w:val="46"/>
        </w:rPr>
        <w:t xml:space="preserve">RAPPORT HEBDOMADAIRE </w:t>
      </w:r>
    </w:p>
    <w:p>
      <w:pPr>
        <w:spacing w:after="280" w:line="264" w:lineRule="auto"/>
      </w:pPr>
      <w:r>
        <w:rPr>
          <w:rFonts w:ascii="Calibri" w:hAnsi="Calibri"/>
          <w:b w:val="0"/>
          <w:i w:val="0"/>
          <w:color w:val="565F6C"/>
          <w:sz w:val="27"/>
        </w:rPr>
        <w:t>Veille, prospection et ressources de la semaine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Destinataire : </w:t>
      </w:r>
      <w:r>
        <w:rPr>
          <w:rFonts w:ascii="Calibri" w:hAnsi="Calibri"/>
          <w:color w:val="000000"/>
        </w:rPr>
        <w:t>Michael ASSAYAG - President SASU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Autrice : </w:t>
      </w:r>
      <w:r>
        <w:rPr>
          <w:rFonts w:ascii="Calibri" w:hAnsi="Calibri"/>
          <w:color w:val="000000"/>
        </w:rPr>
        <w:t>Virginie Benayoun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Positionnement : </w:t>
      </w:r>
      <w:r>
        <w:rPr>
          <w:rFonts w:ascii="Calibri" w:hAnsi="Calibri"/>
          <w:color w:val="000000"/>
        </w:rPr>
        <w:t>Freelance senior : gestion de projet, digital et IA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Date du rapport : </w:t>
      </w:r>
      <w:r>
        <w:rPr>
          <w:rFonts w:ascii="Calibri" w:hAnsi="Calibri"/>
          <w:color w:val="000000"/>
        </w:rPr>
        <w:t>2026-08-13</w:t>
      </w:r>
    </w:p>
    <w:p>
      <w:pPr>
        <w:spacing w:before="200" w:after="200" w:line="264" w:lineRule="auto"/>
        <w:pBdr>
          <w:bottom w:val="single" w:sz="4" w:space="1" w:color="BFBFBF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4FA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sz="4" w:val="single" w:color="BFBFBF"/>
              <w:bottom w:sz="4" w:val="single" w:color="BFBFBF"/>
              <w:left w:sz="28" w:val="single" w:color="005B96"/>
              <w:right w:sz="4" w:val="single" w:color="BFBFBF"/>
            </w:tcBorders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Lecture executive</w:t>
              <w:br/>
            </w:r>
            <w:r>
              <w:rPr>
                <w:rFonts w:ascii="Calibri" w:hAnsi="Calibri"/>
                <w:color w:val="333333"/>
                <w:sz w:val="20"/>
              </w:rPr>
              <w:t>Cette semaine, j'ai prepare pour toi une selection d'articles et d'opportunites trouves pour ASTRA MOMENTUM.</w:t>
            </w:r>
          </w:p>
        </w:tc>
      </w:tr>
    </w:tbl>
    <w:p>
      <w:pPr>
        <w:spacing w:after="120" w:line="264" w:lineRule="auto"/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1. Tableau de bord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7 articles et 0 opportunites retenus cette semaine.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016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Signal</w:t>
            </w:r>
          </w:p>
        </w:tc>
        <w:tc>
          <w:tcPr>
            <w:tcW w:type="dxa" w:w="3168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Observation</w:t>
            </w:r>
          </w:p>
        </w:tc>
        <w:tc>
          <w:tcPr>
            <w:tcW w:type="dxa" w:w="3024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Action conseillee</w:t>
            </w:r>
          </w:p>
        </w:tc>
        <w:tc>
          <w:tcPr>
            <w:tcW w:type="dxa" w:w="1152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Priorite</w:t>
            </w:r>
          </w:p>
        </w:tc>
      </w:tr>
      <w:tr>
        <w:tc>
          <w:tcPr>
            <w:tcW w:type="dxa" w:w="2016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Veille IA/Product</w:t>
            </w:r>
          </w:p>
        </w:tc>
        <w:tc>
          <w:tcPr>
            <w:tcW w:type="dxa" w:w="3168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7 contenus retenus</w:t>
            </w:r>
          </w:p>
        </w:tc>
        <w:tc>
          <w:tcPr>
            <w:tcW w:type="dxa" w:w="3024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Transformer 1 signal en post LinkedIn</w:t>
            </w:r>
          </w:p>
        </w:tc>
        <w:tc>
          <w:tcPr>
            <w:tcW w:type="dxa" w:w="115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Haute</w:t>
            </w:r>
          </w:p>
        </w:tc>
      </w:tr>
      <w:tr>
        <w:tc>
          <w:tcPr>
            <w:tcW w:type="dxa" w:w="2016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Prospection</w:t>
            </w:r>
          </w:p>
        </w:tc>
        <w:tc>
          <w:tcPr>
            <w:tcW w:type="dxa" w:w="3168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Aucune opportunite</w:t>
            </w:r>
          </w:p>
        </w:tc>
        <w:tc>
          <w:tcPr>
            <w:tcW w:type="dxa" w:w="3024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Qualifier les 2 meilleurs fits</w:t>
            </w:r>
          </w:p>
        </w:tc>
        <w:tc>
          <w:tcPr>
            <w:tcW w:type="dxa" w:w="115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N/A</w:t>
            </w:r>
          </w:p>
        </w:tc>
      </w:tr>
    </w:tbl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2. Veille de la semaine</w:t>
      </w:r>
    </w:p>
    <w:p>
      <w:pPr>
        <w:spacing w:before="80" w:after="160" w:line="264" w:lineRule="auto"/>
      </w:pPr>
      <w:r>
        <w:rPr>
          <w:rFonts w:ascii="Calibri" w:hAnsi="Calibri"/>
          <w:b w:val="0"/>
          <w:i/>
          <w:color w:val="565F6C"/>
          <w:sz w:val="19"/>
        </w:rPr>
        <w:t>Voici les articles et ressources retenus cette semaine.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1. Build To Learn FAQ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SVPG</w:t>
      </w:r>
    </w:p>
    <w:p>
      <w:pPr>
        <w:spacing w:after="80" w:line="264" w:lineRule="auto"/>
      </w:pPr>
      <w:hyperlink r:id="rId11">
        <w:r>
          <w:rPr>
            <w:color w:val="0563C1"/>
            <w:u w:val="single"/>
          </w:rPr>
          <w:t>https://www.svpg.com/build-to-learn-faq/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In our last article, we argued that especially in the age of AI, we are all builders, but that there is a very meaningful difference between building to learn (known as product discovery) versus building to earn (known as product delivery).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2. Building AI for Women's Health: How Hertility Combined Bayesian Diagnosis and Scan Automation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Product Talk</w:t>
      </w:r>
    </w:p>
    <w:p>
      <w:pPr>
        <w:spacing w:after="80" w:line="264" w:lineRule="auto"/>
      </w:pPr>
      <w:hyperlink r:id="rId12">
        <w:r>
          <w:rPr>
            <w:color w:val="0563C1"/>
            <w:u w:val="single"/>
          </w:rPr>
          <w:t>https://www.producttalk.org/building-ai-for-womens-health-how-hertility-combined-bayesian-diagnosis-and-scan-automation/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Listen to this episode on: Spotify | Apple Podcasts How do you build trustworthy AI diagnostic tools in one of medicine's most historically under-researched areas? In this episode of Just Now Possible , Teresa Torres talks with Tulsi Patel (Director of Product and Technology), Lorna Brightmore (Head of.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3. Fragments: August 4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Martin Fowler</w:t>
      </w:r>
    </w:p>
    <w:p>
      <w:pPr>
        <w:spacing w:after="80" w:line="264" w:lineRule="auto"/>
      </w:pPr>
      <w:hyperlink r:id="rId13">
        <w:r>
          <w:rPr>
            <w:color w:val="0563C1"/>
            <w:u w:val="single"/>
          </w:rPr>
          <w:t>https://martinfowler.com/fragments/2026-08-04.html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There’s been a fair bit of publicity of the Open AI “rogue agent” that hacked into Hugging Face 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4. Accueil - Agents-Immo.Fr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agents-immo.fr</w:t>
      </w:r>
    </w:p>
    <w:p>
      <w:pPr>
        <w:spacing w:after="80" w:line="264" w:lineRule="auto"/>
      </w:pPr>
      <w:hyperlink r:id="rId14">
        <w:r>
          <w:rPr>
            <w:color w:val="0563C1"/>
            <w:u w:val="single"/>
          </w:rPr>
          <w:t>https://www.agents-immo.fr/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La Compagnie des Agents est un réseau national d’agents commerciaux indépendants à taille humaine.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5. AI agents | Claude by Anthropic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claude.com</w:t>
      </w:r>
    </w:p>
    <w:p>
      <w:pPr>
        <w:spacing w:after="80" w:line="264" w:lineRule="auto"/>
      </w:pPr>
      <w:hyperlink r:id="rId15">
        <w:r>
          <w:rPr>
            <w:color w:val="0563C1"/>
            <w:u w:val="single"/>
          </w:rPr>
          <w:t>https://claude.com/solutions/agents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Build powerful AI agents that reason through complex problems and execute tasks autonomously with reliable results..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6. Building Reliable Agentic AI Systems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Martin Fowler</w:t>
      </w:r>
    </w:p>
    <w:p>
      <w:pPr>
        <w:spacing w:after="80" w:line="264" w:lineRule="auto"/>
      </w:pPr>
      <w:hyperlink r:id="rId16">
        <w:r>
          <w:rPr>
            <w:color w:val="0563C1"/>
            <w:u w:val="single"/>
          </w:rPr>
          <w:t>https://martinfowler.com/articles/reliable-llm-bayer.html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One of the most interesting projects my colleagues have done with LLMs has been building a system with Bayer to allow pharmaceutical researchers to query decades of information about studies buried in PDF reports.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7. The Orchestrator's Tax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9"/>
        </w:rPr>
        <w:t>Source : Martin Fowler</w:t>
      </w:r>
    </w:p>
    <w:p>
      <w:pPr>
        <w:spacing w:after="80" w:line="264" w:lineRule="auto"/>
      </w:pPr>
      <w:hyperlink r:id="rId17">
        <w:r>
          <w:rPr>
            <w:color w:val="0563C1"/>
            <w:u w:val="single"/>
          </w:rPr>
          <w:t>https://martinfowler.com/articles/orchestrator-tax.html</w:t>
        </w:r>
      </w:hyperlink>
    </w:p>
    <w:p>
      <w:pPr>
        <w:pStyle w:val="ListBullet"/>
        <w:spacing w:after="80"/>
      </w:pPr>
      <w:r>
        <w:rPr>
          <w:rFonts w:ascii="Calibri" w:hAnsi="Calibri"/>
          <w:sz w:val="21"/>
        </w:rPr>
        <w:t>En bref : Subagents get justified by time saved and parallel execution, but Rahul Garg explains that's not what matters most.</w:t>
      </w:r>
    </w:p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3. Missions et opportunites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Aucune opportunite identifiee cette semaine.</w:t>
      </w: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4. Ressources et methodes</w:t>
      </w:r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Team Topologies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Definition : Approche d'organisation des equipes tech/produit autour des flux de valeur, plateformes et charge cognitive.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Interet business : Aide a identifier pourquoi le delivery ralentit malgre les rituels agiles.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Cas d'utilisation client : Revue d'organisation, dependances, plateformes internes, friction entre equipes.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Usage commercial pour la societe : Nourrir des diagnostics delivery et transformation digitale.</w:t>
      </w:r>
    </w:p>
    <w:p>
      <w:pPr>
        <w:spacing w:after="80" w:line="264" w:lineRule="auto"/>
      </w:pPr>
      <w:r>
        <w:rPr>
          <w:rFonts w:ascii="Calibri" w:hAnsi="Calibri"/>
          <w:b/>
          <w:color w:val="565F6C"/>
          <w:sz w:val="19"/>
        </w:rPr>
        <w:t xml:space="preserve">Source : </w:t>
      </w:r>
      <w:hyperlink r:id="rId18">
        <w:r>
          <w:rPr>
            <w:color w:val="0563C1"/>
            <w:u w:val="single"/>
          </w:rPr>
          <w:t>https://teamtopologies.com/</w:t>
        </w:r>
      </w:hyperlink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Shape Up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Definition : Methode Basecamp pour cadrer, parier et livrer des cycles produits avec un appetit de temps clair.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Interet business : Aide les organisations a sortir des backlogs infinis et a mieux cadrer les paris produit.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Cas d'utilisation client : Cadrage de problemes, scopes variables, cycles de delivery courts.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Usage commercial pour la societe : Proposer un format de cadrage executive avant sprint ou pilote IA.</w:t>
      </w:r>
    </w:p>
    <w:p>
      <w:pPr>
        <w:spacing w:after="80" w:line="264" w:lineRule="auto"/>
      </w:pPr>
      <w:r>
        <w:rPr>
          <w:rFonts w:ascii="Calibri" w:hAnsi="Calibri"/>
          <w:b/>
          <w:color w:val="565F6C"/>
          <w:sz w:val="19"/>
        </w:rPr>
        <w:t xml:space="preserve">Source : </w:t>
      </w:r>
      <w:hyperlink r:id="rId19">
        <w:r>
          <w:rPr>
            <w:color w:val="0563C1"/>
            <w:u w:val="single"/>
          </w:rPr>
          <w:t>https://basecamp.com/shapeup</w:t>
        </w:r>
      </w:hyperlink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Freelance SASU - Optimisation fiscale et sociale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Definition : Cadre legal et fiscal de la SASU : responsabilite limitee au capital, cotisations sociales sur salaire, dividendes, TVA franchise en deça de 37 500EUR de CA.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Interet business : Permet de conseiller des dirigeants de PME sur le statut SASU vs EI vs EURL et d'identifier les leviers d'optimisation.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Cas d'utilisation client : Clients dirigeants de PME/ETI en freelance ou portage. Sujet recurrent dans les echanges coachings.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Usage commercial pour la societe : Argumentaire pour missions de conseil strategique aupres de dirigeants de PME.</w:t>
      </w:r>
    </w:p>
    <w:p>
      <w:pPr>
        <w:spacing w:after="80" w:line="264" w:lineRule="auto"/>
      </w:pPr>
      <w:r>
        <w:rPr>
          <w:rFonts w:ascii="Calibri" w:hAnsi="Calibri"/>
          <w:b/>
          <w:color w:val="565F6C"/>
          <w:sz w:val="19"/>
        </w:rPr>
        <w:t xml:space="preserve">Source : </w:t>
      </w:r>
      <w:hyperlink r:id="rId20">
        <w:r>
          <w:rPr>
            <w:color w:val="0563C1"/>
            <w:u w:val="single"/>
          </w:rPr>
          <w:t>https://www.legifrance.gouv.fr/codes/section_lc/LEGITEXT000006069565/LEGISCTA000006191753/</w:t>
        </w:r>
      </w:hyperlink>
    </w:p>
    <w:p>
      <w:pPr>
        <w:pStyle w:val="Heading3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3"/>
        </w:rPr>
        <w:t>Scrum Guide - Product Goal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Definition : Reference officielle Scrum recentrant l'equipe sur Product Goal, Sprint Goal et Definition of Done.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Interet business : Permet de distinguer agilité utile et ceremonies sans impact.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Cas d'utilisation client : Audit agile, clarification du role PO, evaluation de la valeur livree.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Usage commercial pour la societe : Argumentaire pour offres de remise a plat delivery/product.</w:t>
      </w:r>
    </w:p>
    <w:p>
      <w:pPr>
        <w:spacing w:after="80" w:line="264" w:lineRule="auto"/>
      </w:pPr>
      <w:r>
        <w:rPr>
          <w:rFonts w:ascii="Calibri" w:hAnsi="Calibri"/>
          <w:b/>
          <w:color w:val="565F6C"/>
          <w:sz w:val="19"/>
        </w:rPr>
        <w:t xml:space="preserve">Source : </w:t>
      </w:r>
      <w:hyperlink r:id="rId21">
        <w:r>
          <w:rPr>
            <w:color w:val="0563C1"/>
            <w:u w:val="single"/>
          </w:rPr>
          <w:t>https://scrumguides.org/scrum-guide.html</w:t>
        </w:r>
      </w:hyperlink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5. Recommandations operationnelles</w:t>
      </w:r>
    </w:p>
    <w:p>
      <w:pPr>
        <w:pStyle w:val="Heading2"/>
        <w:spacing w:line="264" w:lineRule="auto"/>
      </w:pPr>
      <w:r>
        <w:rPr>
          <w:rFonts w:ascii="Calibri" w:hAnsi="Calibri"/>
          <w:b w:val="0"/>
          <w:i w:val="0"/>
        </w:rPr>
        <w:t>Priorites pour la semaine suivante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Qualifier en priorite : la meilleure opportunite identifiee.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Utiliser l'article 'Build To Learn FAQ' pour un post LinkedIn cette semaine.</w:t>
      </w: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6. Sources et URLs verifiables</w:t>
      </w:r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Build To Learn FAQ - </w:t>
      </w:r>
      <w:hyperlink r:id="rId11">
        <w:r>
          <w:rPr>
            <w:color w:val="0563C1"/>
            <w:u w:val="single"/>
          </w:rPr>
          <w:t>https://www.svpg.com/build-to-learn-faq/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Building AI for Women's Health: How Hertility Combined Bayesian Diagnosis and Scan Automation - </w:t>
      </w:r>
      <w:hyperlink r:id="rId12">
        <w:r>
          <w:rPr>
            <w:color w:val="0563C1"/>
            <w:u w:val="single"/>
          </w:rPr>
          <w:t>https://www.producttalk.org/building-ai-for-womens-health-how-hertility-combined-bayesian-diagnosis-and-scan-automation/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Fragments: August 4 - </w:t>
      </w:r>
      <w:hyperlink r:id="rId13">
        <w:r>
          <w:rPr>
            <w:color w:val="0563C1"/>
            <w:u w:val="single"/>
          </w:rPr>
          <w:t>https://martinfowler.com/fragments/2026-08-04.html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Accueil - Agents-Immo.Fr - </w:t>
      </w:r>
      <w:hyperlink r:id="rId14">
        <w:r>
          <w:rPr>
            <w:color w:val="0563C1"/>
            <w:u w:val="single"/>
          </w:rPr>
          <w:t>https://www.agents-immo.fr/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AI agents | Claude by Anthropic - </w:t>
      </w:r>
      <w:hyperlink r:id="rId15">
        <w:r>
          <w:rPr>
            <w:color w:val="0563C1"/>
            <w:u w:val="single"/>
          </w:rPr>
          <w:t>https://claude.com/solutions/agents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Building Reliable Agentic AI Systems - </w:t>
      </w:r>
      <w:hyperlink r:id="rId16">
        <w:r>
          <w:rPr>
            <w:color w:val="0563C1"/>
            <w:u w:val="single"/>
          </w:rPr>
          <w:t>https://martinfowler.com/articles/reliable-llm-bayer.html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The Orchestrator's Tax - </w:t>
      </w:r>
      <w:hyperlink r:id="rId17">
        <w:r>
          <w:rPr>
            <w:color w:val="0563C1"/>
            <w:u w:val="single"/>
          </w:rPr>
          <w:t>https://martinfowler.com/articles/orchestrator-tax.html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Team Topologies - </w:t>
      </w:r>
      <w:hyperlink r:id="rId18">
        <w:r>
          <w:rPr>
            <w:color w:val="0563C1"/>
            <w:u w:val="single"/>
          </w:rPr>
          <w:t>https://teamtopologies.com/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Shape Up - </w:t>
      </w:r>
      <w:hyperlink r:id="rId19">
        <w:r>
          <w:rPr>
            <w:color w:val="0563C1"/>
            <w:u w:val="single"/>
          </w:rPr>
          <w:t>https://basecamp.com/shapeup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Freelance SASU - Optimisation fiscale et sociale - </w:t>
      </w:r>
      <w:hyperlink r:id="rId20">
        <w:r>
          <w:rPr>
            <w:color w:val="0563C1"/>
            <w:u w:val="single"/>
          </w:rPr>
          <w:t>https://www.legifrance.gouv.fr/codes/section_lc/LEGITEXT000006069565/LEGISCTA000006191753/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565F6C"/>
          <w:sz w:val="18"/>
        </w:rPr>
        <w:t xml:space="preserve">Scrum Guide - Product Goal - </w:t>
      </w:r>
      <w:hyperlink r:id="rId21">
        <w:r>
          <w:rPr>
            <w:color w:val="0563C1"/>
            <w:u w:val="single"/>
          </w:rPr>
          <w:t>https://scrumguides.org/scrum-guide.html</w:t>
        </w:r>
      </w:hyperlink>
    </w:p>
    <w:p>
      <w:pPr>
        <w:spacing w:before="120" w:after="120" w:line="264" w:lineRule="auto"/>
        <w:pBdr>
          <w:bottom w:val="single" w:sz="4" w:space="1" w:color="BFBFBF"/>
        </w:pBdr>
      </w:pPr>
    </w:p>
    <w:p>
      <w:pPr>
        <w:pStyle w:val="Heading1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30"/>
        </w:rPr>
        <w:t>7. TokenForge Watch - Revue de presse des couts IA</w:t>
      </w:r>
    </w:p>
    <w:p>
      <w:pPr>
        <w:spacing w:before="80" w:after="160" w:line="264" w:lineRule="auto"/>
      </w:pPr>
      <w:r>
        <w:rPr>
          <w:rFonts w:ascii="Calibri" w:hAnsi="Calibri"/>
          <w:b w:val="0"/>
          <w:i/>
          <w:color w:val="565F6C"/>
          <w:sz w:val="19"/>
        </w:rPr>
        <w:t>Actualites, outils et mouvements de marche sur la reduction des factures IA en entreprise.</w:t>
      </w:r>
    </w:p>
    <w:p>
      <w:pPr>
        <w:pStyle w:val="Heading2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5"/>
        </w:rPr>
        <w:t>B. Routeurs, compresseurs et outils FinOps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Outil</w:t>
            </w:r>
          </w:p>
        </w:tc>
        <w:tc>
          <w:tcPr>
            <w:tcW w:type="dxa" w:w="3600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Description</w:t>
            </w:r>
          </w:p>
        </w:tc>
        <w:tc>
          <w:tcPr>
            <w:tcW w:type="dxa" w:w="1152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Pertinence TokenForge</w:t>
            </w:r>
          </w:p>
        </w:tc>
        <w:tc>
          <w:tcPr>
            <w:tcW w:type="dxa" w:w="1872"/>
            <w:shd w:fill="E8EEF5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Lien</w:t>
            </w:r>
          </w:p>
        </w:tc>
      </w:tr>
      <w:tr>
        <w:tc>
          <w:tcPr>
            <w:tcW w:type="dxa" w:w="259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rtk-ai/rtk</w:t>
            </w:r>
          </w:p>
        </w:tc>
        <w:tc>
          <w:tcPr>
            <w:tcW w:type="dxa" w:w="3600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Run RTK from Command Prompt, PowerShell, or Windows Terminal — do not double-click the .exe (it will flash and close). The full hook system works nati</w:t>
            </w:r>
          </w:p>
        </w:tc>
        <w:tc>
          <w:tcPr>
            <w:tcW w:type="dxa" w:w="115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8.2/10</w:t>
            </w:r>
          </w:p>
        </w:tc>
        <w:tc>
          <w:tcPr>
            <w:tcW w:type="dxa" w:w="187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https://github.com/rtk-ai/rtk</w:t>
            </w:r>
          </w:p>
        </w:tc>
      </w:tr>
      <w:tr>
        <w:tc>
          <w:tcPr>
            <w:tcW w:type="dxa" w:w="259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Releases · rtk-ai/rtk - GitHub</w:t>
            </w:r>
          </w:p>
        </w:tc>
        <w:tc>
          <w:tcPr>
            <w:tcW w:type="dxa" w:w="3600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 proxy that reduces LLM token consumption by 60-90% on common dev commands. Single Rust binary, zero dependencies - Releases · rtk-ai/rtk</w:t>
            </w:r>
          </w:p>
        </w:tc>
        <w:tc>
          <w:tcPr>
            <w:tcW w:type="dxa" w:w="115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7.6/10</w:t>
            </w:r>
          </w:p>
        </w:tc>
        <w:tc>
          <w:tcPr>
            <w:tcW w:type="dxa" w:w="187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https://github.com/rtk-ai/rtk/releases</w:t>
            </w:r>
          </w:p>
        </w:tc>
      </w:tr>
      <w:tr>
        <w:tc>
          <w:tcPr>
            <w:tcW w:type="dxa" w:w="259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RTK — Rust Token Killer</w:t>
            </w:r>
          </w:p>
        </w:tc>
        <w:tc>
          <w:tcPr>
            <w:tcW w:type="dxa" w:w="3600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RTK is an open-source CLI tool that compresses command outputs before they reach the AI context window. It reduces token usage by 60-90% with zero con</w:t>
            </w:r>
          </w:p>
        </w:tc>
        <w:tc>
          <w:tcPr>
            <w:tcW w:type="dxa" w:w="115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6.5/10</w:t>
            </w:r>
          </w:p>
        </w:tc>
        <w:tc>
          <w:tcPr>
            <w:tcW w:type="dxa" w:w="187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https://www.rtk-ai.app/</w:t>
            </w:r>
          </w:p>
        </w:tc>
      </w:tr>
      <w:tr>
        <w:tc>
          <w:tcPr>
            <w:tcW w:type="dxa" w:w="259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Que veut dire Token ? Le guide complet pour comprendre les u</w:t>
            </w:r>
          </w:p>
        </w:tc>
        <w:tc>
          <w:tcPr>
            <w:tcW w:type="dxa" w:w="3600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On parlera de token informatique lorsqu’il s’agit de mots de passe, de clés ou de jetons authentifiants. Dans le domaine de la cryptographie et des cr</w:t>
            </w:r>
          </w:p>
        </w:tc>
        <w:tc>
          <w:tcPr>
            <w:tcW w:type="dxa" w:w="115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5.2/10</w:t>
            </w:r>
          </w:p>
        </w:tc>
        <w:tc>
          <w:tcPr>
            <w:tcW w:type="dxa" w:w="187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https://kablo.fr/que-veut-dire-token/</w:t>
            </w:r>
          </w:p>
        </w:tc>
      </w:tr>
      <w:tr>
        <w:tc>
          <w:tcPr>
            <w:tcW w:type="dxa" w:w="259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Releases · BerriAI/litellm - GitHub</w:t>
            </w:r>
          </w:p>
        </w:tc>
        <w:tc>
          <w:tcPr>
            <w:tcW w:type="dxa" w:w="3600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The fastest, litest AI Gateway. Rust core with Python SDK. Call 100+ LLM APIs in OpenAI (or native) format with cost tracking, guardrails, load balanc</w:t>
            </w:r>
          </w:p>
        </w:tc>
        <w:tc>
          <w:tcPr>
            <w:tcW w:type="dxa" w:w="115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5.2/10</w:t>
            </w:r>
          </w:p>
        </w:tc>
        <w:tc>
          <w:tcPr>
            <w:tcW w:type="dxa" w:w="1872"/>
            <w:shd w:fill="F2F4F7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https://github.com/BerriAI/litellm/releases</w:t>
            </w:r>
          </w:p>
        </w:tc>
      </w:tr>
      <w:tr>
        <w:tc>
          <w:tcPr>
            <w:tcW w:type="dxa" w:w="259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Token</w:t>
            </w:r>
          </w:p>
        </w:tc>
        <w:tc>
          <w:tcPr>
            <w:tcW w:type="dxa" w:w="3600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Un token est un actif numérique qui facilite les échanges sur une blockchain. Il peut permettre d’acquérir un produit ou des produits financiers.</w:t>
            </w:r>
          </w:p>
        </w:tc>
        <w:tc>
          <w:tcPr>
            <w:tcW w:type="dxa" w:w="115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4.8/10</w:t>
            </w:r>
          </w:p>
        </w:tc>
        <w:tc>
          <w:tcPr>
            <w:tcW w:type="dxa" w:w="1872"/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https://blockchainfrance.net/decouvrir-la-blockchain/comprendre-les-tokens/</w:t>
            </w:r>
          </w:p>
        </w:tc>
      </w:tr>
    </w:tbl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rtk-ai/rtk : </w:t>
      </w:r>
      <w:hyperlink r:id="rId22">
        <w:r>
          <w:rPr>
            <w:color w:val="0563C1"/>
            <w:u w:val="single"/>
          </w:rPr>
          <w:t>https://github.com/rtk-ai/rtk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Releases · rtk-ai/rtk - GitHub : </w:t>
      </w:r>
      <w:hyperlink r:id="rId23">
        <w:r>
          <w:rPr>
            <w:color w:val="0563C1"/>
            <w:u w:val="single"/>
          </w:rPr>
          <w:t>https://github.com/rtk-ai/rtk/releases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RTK — Rust Token Killer : </w:t>
      </w:r>
      <w:hyperlink r:id="rId24">
        <w:r>
          <w:rPr>
            <w:color w:val="0563C1"/>
            <w:u w:val="single"/>
          </w:rPr>
          <w:t>https://www.rtk-ai.app/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Que veut dire Token ? Le guide complet pour comprendre les u : </w:t>
      </w:r>
      <w:hyperlink r:id="rId25">
        <w:r>
          <w:rPr>
            <w:color w:val="0563C1"/>
            <w:u w:val="single"/>
          </w:rPr>
          <w:t>https://kablo.fr/que-veut-dire-token/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Releases · BerriAI/litellm - GitHub : </w:t>
      </w:r>
      <w:hyperlink r:id="rId26">
        <w:r>
          <w:rPr>
            <w:color w:val="0563C1"/>
            <w:u w:val="single"/>
          </w:rPr>
          <w:t>https://github.com/BerriAI/litellm/releases</w:t>
        </w:r>
      </w:hyperlink>
    </w:p>
    <w:p>
      <w:pPr>
        <w:spacing w:after="40" w:line="264" w:lineRule="auto"/>
      </w:pPr>
      <w:r>
        <w:rPr>
          <w:rFonts w:ascii="Calibri" w:hAnsi="Calibri"/>
          <w:b/>
          <w:color w:val="0B2545"/>
          <w:sz w:val="18"/>
        </w:rPr>
        <w:t xml:space="preserve">Token : </w:t>
      </w:r>
      <w:hyperlink r:id="rId27">
        <w:r>
          <w:rPr>
            <w:color w:val="0563C1"/>
            <w:u w:val="single"/>
          </w:rPr>
          <w:t>https://blockchainfrance.net/decouvrir-la-blockchain/comprendre-les-tokens/</w:t>
        </w:r>
      </w:hyperlink>
    </w:p>
    <w:p>
      <w:pPr>
        <w:pStyle w:val="Heading2"/>
        <w:pBdr>
          <w:left w:val="single" w:sz="28" w:space="8" w:color="005B96"/>
        </w:pBdr>
      </w:pPr>
      <w:r>
        <w:rPr>
          <w:rFonts w:ascii="Calibri" w:hAnsi="Calibri"/>
          <w:b/>
          <w:color w:val="0B2545"/>
          <w:sz w:val="25"/>
        </w:rPr>
        <w:t>C. Analyse et actions pour TokenForge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4 outil(s) de routage/commutation identifie(s) - regarder si un(e) peut etre integree dans TokenForge pour basculer sur le provider le moins cher en temps reel.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5 outil(s) de compression/caching identifie(s) - tester pour reduire les tokens avant envoi a l API.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2 source(s) sur le FinOps IA - alimente la partie conseil de TokenForge (tableau de bord couts, alertes, plafonds).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Prochaine etape : monter un petit comparatif des providers (OpenAI vs Anthropic vs Mistral vs Google) avec les prix token 2026 pour les clients TokenForge.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color w:val="565F6C"/>
        <w:sz w:val="17"/>
      </w:rPr>
      <w:t xml:space="preserve">ASTRA MOMENTUM | Page </w:t>
    </w:r>
    <w:r>
      <w:fldChar w:fldCharType="begin"/>
    </w:r>
    <w:r>
      <w:instrText xml:space="preserve">PAGE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FBFBF"/>
      </w:pBdr>
    </w:pPr>
    <w:r>
      <w:rPr>
        <w:rFonts w:ascii="Calibri" w:hAnsi="Calibri"/>
        <w:color w:val="565F6C"/>
        <w:sz w:val="18"/>
      </w:rPr>
      <w:t>ASTRA MOMENTUM | Rapport Hebdomadaire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svpg.com/build-to-learn-faq/" TargetMode="External"/><Relationship Id="rId12" Type="http://schemas.openxmlformats.org/officeDocument/2006/relationships/hyperlink" Target="https://www.producttalk.org/building-ai-for-womens-health-how-hertility-combined-bayesian-diagnosis-and-scan-automation/" TargetMode="External"/><Relationship Id="rId13" Type="http://schemas.openxmlformats.org/officeDocument/2006/relationships/hyperlink" Target="https://martinfowler.com/fragments/2026-08-04.html" TargetMode="External"/><Relationship Id="rId14" Type="http://schemas.openxmlformats.org/officeDocument/2006/relationships/hyperlink" Target="https://www.agents-immo.fr/" TargetMode="External"/><Relationship Id="rId15" Type="http://schemas.openxmlformats.org/officeDocument/2006/relationships/hyperlink" Target="https://claude.com/solutions/agents" TargetMode="External"/><Relationship Id="rId16" Type="http://schemas.openxmlformats.org/officeDocument/2006/relationships/hyperlink" Target="https://martinfowler.com/articles/reliable-llm-bayer.html" TargetMode="External"/><Relationship Id="rId17" Type="http://schemas.openxmlformats.org/officeDocument/2006/relationships/hyperlink" Target="https://martinfowler.com/articles/orchestrator-tax.html" TargetMode="External"/><Relationship Id="rId18" Type="http://schemas.openxmlformats.org/officeDocument/2006/relationships/hyperlink" Target="https://teamtopologies.com/" TargetMode="External"/><Relationship Id="rId19" Type="http://schemas.openxmlformats.org/officeDocument/2006/relationships/hyperlink" Target="https://basecamp.com/shapeup" TargetMode="External"/><Relationship Id="rId20" Type="http://schemas.openxmlformats.org/officeDocument/2006/relationships/hyperlink" Target="https://www.legifrance.gouv.fr/codes/section_lc/LEGITEXT000006069565/LEGISCTA000006191753/" TargetMode="External"/><Relationship Id="rId21" Type="http://schemas.openxmlformats.org/officeDocument/2006/relationships/hyperlink" Target="https://scrumguides.org/scrum-guide.html" TargetMode="External"/><Relationship Id="rId22" Type="http://schemas.openxmlformats.org/officeDocument/2006/relationships/hyperlink" Target="https://github.com/rtk-ai/rtk" TargetMode="External"/><Relationship Id="rId23" Type="http://schemas.openxmlformats.org/officeDocument/2006/relationships/hyperlink" Target="https://github.com/rtk-ai/rtk/releases" TargetMode="External"/><Relationship Id="rId24" Type="http://schemas.openxmlformats.org/officeDocument/2006/relationships/hyperlink" Target="https://www.rtk-ai.app/" TargetMode="External"/><Relationship Id="rId25" Type="http://schemas.openxmlformats.org/officeDocument/2006/relationships/hyperlink" Target="https://kablo.fr/que-veut-dire-token/" TargetMode="External"/><Relationship Id="rId26" Type="http://schemas.openxmlformats.org/officeDocument/2006/relationships/hyperlink" Target="https://github.com/BerriAI/litellm/releases" TargetMode="External"/><Relationship Id="rId27" Type="http://schemas.openxmlformats.org/officeDocument/2006/relationships/hyperlink" Target="https://blockchainfrance.net/decouvrir-la-blockchain/comprendre-les-toke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Hebdomadaire ASTRA MOMENTUM</dc:title>
  <dc:subject/>
  <dc:creator>Michael ASSAYAG</dc:creator>
  <cp:keywords/>
  <dc:description>generated by python-docx</dc:description>
  <cp:lastModifiedBy>Virginie Benayoun</cp:lastModifiedBy>
  <cp:revision>1</cp:revision>
  <dcterms:created xsi:type="dcterms:W3CDTF">2013-12-23T23:15:00Z</dcterms:created>
  <dcterms:modified xsi:type="dcterms:W3CDTF">2013-12-23T23:15:00Z</dcterms:modified>
  <cp:category/>
</cp:coreProperties>
</file>