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76" w:lineRule="auto"/>
        <w:jc w:val="center"/>
      </w:pPr>
      <w:r>
        <w:rPr>
          <w:rFonts w:ascii="Times New Roman" w:hAnsi="Times New Roman" w:eastAsia="Times New Roman"/>
          <w:b w:val="0"/>
          <w:i/>
          <w:sz w:val="18"/>
        </w:rPr>
        <w:t>Software Impacts — Original Software Publication (OSP) manuscript draft</w:t>
      </w:r>
    </w:p>
    <w:p>
      <w:pPr>
        <w:spacing w:after="240" w:before="0" w:line="276" w:lineRule="auto"/>
        <w:jc w:val="center"/>
      </w:pPr>
      <w:r>
        <w:rPr>
          <w:rFonts w:ascii="Times New Roman" w:hAnsi="Times New Roman" w:eastAsia="Times New Roman"/>
          <w:b w:val="0"/>
          <w:i/>
          <w:sz w:val="18"/>
        </w:rPr>
        <w:t>Prepared for transfer into Elsevier SIMPAC_OSP_Template.docx · Edit all [PLACEHOLDER] fields before submission</w:t>
      </w:r>
    </w:p>
    <w:p>
      <w:pPr>
        <w:spacing w:after="240" w:before="0" w:line="276" w:lineRule="auto"/>
        <w:jc w:val="center"/>
      </w:pPr>
      <w:r>
        <w:rPr>
          <w:rFonts w:ascii="Times New Roman" w:hAnsi="Times New Roman" w:eastAsia="Times New Roman"/>
          <w:b/>
          <w:i w:val="0"/>
          <w:sz w:val="28"/>
        </w:rPr>
        <w:t>Parade Tim Kerja: an open educational simulator of zone-flow construction production, variability, cost, and takt planning</w:t>
      </w:r>
    </w:p>
    <w:p>
      <w:pPr>
        <w:spacing w:after="80" w:before="0" w:line="276" w:lineRule="auto"/>
        <w:jc w:val="center"/>
      </w:pPr>
      <w:r>
        <w:rPr>
          <w:rFonts w:ascii="Times New Roman" w:hAnsi="Times New Roman" w:eastAsia="Times New Roman"/>
          <w:b w:val="0"/>
          <w:i w:val="0"/>
          <w:sz w:val="22"/>
        </w:rPr>
        <w:t>[Given name Family name]a,*, [Given name Family name]a</w:t>
      </w:r>
    </w:p>
    <w:p>
      <w:pPr>
        <w:spacing w:after="80" w:before="0" w:line="276" w:lineRule="auto"/>
        <w:jc w:val="center"/>
      </w:pPr>
      <w:r>
        <w:rPr>
          <w:rFonts w:ascii="Times New Roman" w:hAnsi="Times New Roman" w:eastAsia="Times New Roman"/>
          <w:b w:val="0"/>
          <w:i/>
          <w:sz w:val="20"/>
        </w:rPr>
        <w:t>a [Department], [Faculty], [University], [Street address], [City], [Postal code], [Country]</w:t>
      </w:r>
    </w:p>
    <w:p>
      <w:pPr>
        <w:spacing w:after="240" w:before="0" w:line="276" w:lineRule="auto"/>
        <w:jc w:val="center"/>
      </w:pPr>
      <w:r>
        <w:rPr>
          <w:rFonts w:ascii="Times New Roman" w:hAnsi="Times New Roman" w:eastAsia="Times New Roman"/>
          <w:b w:val="0"/>
          <w:i w:val="0"/>
          <w:sz w:val="20"/>
        </w:rPr>
        <w:t>* Corresponding author. E-mail address: [email@institution.edu] (G. Familyname).</w:t>
      </w:r>
    </w:p>
    <w:p>
      <w:pPr>
        <w:spacing w:before="240" w:after="120"/>
      </w:pPr>
      <w:r>
        <w:rPr>
          <w:rFonts w:ascii="Times New Roman" w:hAnsi="Times New Roman" w:eastAsia="Times New Roman"/>
          <w:b/>
          <w:i w:val="0"/>
          <w:sz w:val="24"/>
        </w:rPr>
        <w:t>Abstract</w:t>
      </w:r>
    </w:p>
    <w:p>
      <w:pPr>
        <w:spacing w:after="160" w:before="0" w:line="276" w:lineRule="auto"/>
      </w:pPr>
      <w:r>
        <w:rPr>
          <w:rFonts w:ascii="Times New Roman" w:hAnsi="Times New Roman" w:eastAsia="Times New Roman"/>
          <w:b w:val="0"/>
          <w:i w:val="0"/>
          <w:sz w:val="20"/>
        </w:rPr>
        <w:t>Parade Tim Kerja (“Work-Team Parade”) is an open-source, browser-based simulator for teaching and exploring project-production behaviour in construction. The tool implements a zone-flow parade of trades model for a five-trade concrete floor cycle: sequential crews advance across spatial zones under capacity limits, batch handoff policies, and optional per-zone production variability. Learners obtain Line of Balance charts, work-in-process (WIP) trajectories, utilisation, active/idle labour-cost metrics, and multi-scenario comparisons without installing local software. Built-in analytics connect simulation outcomes to Little’s Law, Kingman’s VUT approximation, inventory–fill-rate trade-offs, and an educational takt-planning module that separates physical bays from planning zones on a fixed floor area. Results export to CSV/Excel for classroom reporting. The software is implemented in Python with a Streamlit interface, documented with an Indonesian teaching manual, and released publicly for reuse in civil engineering education, Lean Construction workshops, and reproducible classroom experiments on workflow variability and handoff batch size.</w:t>
      </w:r>
    </w:p>
    <w:p>
      <w:pPr>
        <w:spacing w:after="240" w:before="0" w:line="276" w:lineRule="auto"/>
      </w:pPr>
      <w:r>
        <w:rPr>
          <w:rFonts w:ascii="Times New Roman" w:hAnsi="Times New Roman" w:eastAsia="Times New Roman"/>
          <w:b w:val="0"/>
          <w:i/>
          <w:sz w:val="20"/>
        </w:rPr>
        <w:t>Keywords: construction simulation; lean construction; parade of trades; takt planning; Little's Law; educational software; zone flow</w:t>
      </w:r>
    </w:p>
    <w:p>
      <w:pPr>
        <w:spacing w:before="240" w:after="120"/>
      </w:pPr>
      <w:r>
        <w:rPr>
          <w:rFonts w:ascii="Times New Roman" w:hAnsi="Times New Roman" w:eastAsia="Times New Roman"/>
          <w:b/>
          <w:i w:val="0"/>
          <w:sz w:val="24"/>
        </w:rPr>
        <w:t>Code metadata</w:t>
      </w:r>
    </w:p>
    <w:p>
      <w:pPr>
        <w:spacing w:after="120" w:before="0" w:line="276" w:lineRule="auto"/>
      </w:pPr>
      <w:r>
        <w:rPr>
          <w:rFonts w:ascii="Times New Roman" w:hAnsi="Times New Roman" w:eastAsia="Times New Roman"/>
          <w:b w:val="0"/>
          <w:i w:val="0"/>
          <w:sz w:val="20"/>
        </w:rPr>
        <w:t>Table 1 summarises code metadata required by Software Impacts Original Software Publications.</w:t>
      </w:r>
    </w:p>
    <w:p>
      <w:pPr>
        <w:spacing w:after="80" w:before="0" w:line="276" w:lineRule="auto"/>
      </w:pPr>
      <w:r>
        <w:rPr>
          <w:rFonts w:ascii="Times New Roman" w:hAnsi="Times New Roman" w:eastAsia="Times New Roman"/>
          <w:b w:val="0"/>
          <w:i/>
          <w:sz w:val="18"/>
        </w:rPr>
        <w:t>Table 1. Code metadata.</w:t>
      </w:r>
    </w:p>
    <w:tbl>
      <w:tblPr>
        <w:tblStyle w:val="TableGrid"/>
        <w:tblW w:type="auto" w:w="0"/>
        <w:tblLook w:firstColumn="1" w:firstRow="1" w:lastColumn="0" w:lastRow="0" w:noHBand="0" w:noVBand="1" w:val="04A0"/>
      </w:tblPr>
      <w:tblGrid>
        <w:gridCol w:w="3213"/>
        <w:gridCol w:w="3213"/>
        <w:gridCol w:w="3213"/>
      </w:tblGrid>
      <w:tr>
        <w:tc>
          <w:tcPr>
            <w:tcW w:type="dxa" w:w="680"/>
          </w:tcPr>
          <w:p>
            <w:r/>
            <w:r>
              <w:rPr>
                <w:rFonts w:ascii="Times New Roman" w:hAnsi="Times New Roman" w:eastAsia="Times New Roman"/>
                <w:b/>
                <w:i w:val="0"/>
                <w:sz w:val="18"/>
              </w:rPr>
              <w:t>Nr</w:t>
            </w:r>
          </w:p>
        </w:tc>
        <w:tc>
          <w:tcPr>
            <w:tcW w:type="dxa" w:w="3685"/>
          </w:tcPr>
          <w:p>
            <w:r/>
            <w:r>
              <w:rPr>
                <w:rFonts w:ascii="Times New Roman" w:hAnsi="Times New Roman" w:eastAsia="Times New Roman"/>
                <w:b/>
                <w:i w:val="0"/>
                <w:sz w:val="18"/>
              </w:rPr>
              <w:t>Code metadata description</w:t>
            </w:r>
          </w:p>
        </w:tc>
        <w:tc>
          <w:tcPr>
            <w:tcW w:type="dxa" w:w="4819"/>
          </w:tcPr>
          <w:p>
            <w:r/>
            <w:r>
              <w:rPr>
                <w:rFonts w:ascii="Times New Roman" w:hAnsi="Times New Roman" w:eastAsia="Times New Roman"/>
                <w:b/>
                <w:i w:val="0"/>
                <w:sz w:val="18"/>
              </w:rPr>
              <w:t>Please fill in this column</w:t>
            </w:r>
          </w:p>
        </w:tc>
      </w:tr>
      <w:tr>
        <w:tc>
          <w:tcPr>
            <w:tcW w:type="dxa" w:w="680"/>
          </w:tcPr>
          <w:p>
            <w:r/>
            <w:r>
              <w:rPr>
                <w:rFonts w:ascii="Times New Roman" w:hAnsi="Times New Roman" w:eastAsia="Times New Roman"/>
                <w:b w:val="0"/>
                <w:i w:val="0"/>
                <w:sz w:val="18"/>
              </w:rPr>
              <w:t>C1</w:t>
            </w:r>
          </w:p>
        </w:tc>
        <w:tc>
          <w:tcPr>
            <w:tcW w:type="dxa" w:w="3685"/>
          </w:tcPr>
          <w:p>
            <w:r/>
            <w:r>
              <w:rPr>
                <w:rFonts w:ascii="Times New Roman" w:hAnsi="Times New Roman" w:eastAsia="Times New Roman"/>
                <w:b w:val="0"/>
                <w:i w:val="0"/>
                <w:sz w:val="18"/>
              </w:rPr>
              <w:t>Current code version</w:t>
            </w:r>
          </w:p>
        </w:tc>
        <w:tc>
          <w:tcPr>
            <w:tcW w:type="dxa" w:w="4819"/>
          </w:tcPr>
          <w:p>
            <w:r/>
            <w:r>
              <w:rPr>
                <w:rFonts w:ascii="Times New Roman" w:hAnsi="Times New Roman" w:eastAsia="Times New Roman"/>
                <w:b w:val="0"/>
                <w:i w:val="0"/>
                <w:sz w:val="18"/>
              </w:rPr>
              <w:t>[e.g. v1.0.0]</w:t>
            </w:r>
          </w:p>
        </w:tc>
      </w:tr>
      <w:tr>
        <w:tc>
          <w:tcPr>
            <w:tcW w:type="dxa" w:w="680"/>
          </w:tcPr>
          <w:p>
            <w:r/>
            <w:r>
              <w:rPr>
                <w:rFonts w:ascii="Times New Roman" w:hAnsi="Times New Roman" w:eastAsia="Times New Roman"/>
                <w:b w:val="0"/>
                <w:i w:val="0"/>
                <w:sz w:val="18"/>
              </w:rPr>
              <w:t>C2</w:t>
            </w:r>
          </w:p>
        </w:tc>
        <w:tc>
          <w:tcPr>
            <w:tcW w:type="dxa" w:w="3685"/>
          </w:tcPr>
          <w:p>
            <w:r/>
            <w:r>
              <w:rPr>
                <w:rFonts w:ascii="Times New Roman" w:hAnsi="Times New Roman" w:eastAsia="Times New Roman"/>
                <w:b w:val="0"/>
                <w:i w:val="0"/>
                <w:sz w:val="18"/>
              </w:rPr>
              <w:t>Permanent link to code/repository used for this code version</w:t>
            </w:r>
          </w:p>
        </w:tc>
        <w:tc>
          <w:tcPr>
            <w:tcW w:type="dxa" w:w="4819"/>
          </w:tcPr>
          <w:p>
            <w:r/>
            <w:r>
              <w:rPr>
                <w:rFonts w:ascii="Times New Roman" w:hAnsi="Times New Roman" w:eastAsia="Times New Roman"/>
                <w:b w:val="0"/>
                <w:i w:val="0"/>
                <w:sz w:val="18"/>
              </w:rPr>
              <w:t>https://github.com/m46d45/Parade-Tim-Kerja</w:t>
            </w:r>
          </w:p>
        </w:tc>
      </w:tr>
      <w:tr>
        <w:tc>
          <w:tcPr>
            <w:tcW w:type="dxa" w:w="680"/>
          </w:tcPr>
          <w:p>
            <w:r/>
            <w:r>
              <w:rPr>
                <w:rFonts w:ascii="Times New Roman" w:hAnsi="Times New Roman" w:eastAsia="Times New Roman"/>
                <w:b w:val="0"/>
                <w:i w:val="0"/>
                <w:sz w:val="18"/>
              </w:rPr>
              <w:t>C3</w:t>
            </w:r>
          </w:p>
        </w:tc>
        <w:tc>
          <w:tcPr>
            <w:tcW w:type="dxa" w:w="3685"/>
          </w:tcPr>
          <w:p>
            <w:r/>
            <w:r>
              <w:rPr>
                <w:rFonts w:ascii="Times New Roman" w:hAnsi="Times New Roman" w:eastAsia="Times New Roman"/>
                <w:b w:val="0"/>
                <w:i w:val="0"/>
                <w:sz w:val="18"/>
              </w:rPr>
              <w:t>Permanent link to Reproducible Capsule (CodeOcean, optional)</w:t>
            </w:r>
          </w:p>
        </w:tc>
        <w:tc>
          <w:tcPr>
            <w:tcW w:type="dxa" w:w="4819"/>
          </w:tcPr>
          <w:p>
            <w:r/>
            <w:r>
              <w:rPr>
                <w:rFonts w:ascii="Times New Roman" w:hAnsi="Times New Roman" w:eastAsia="Times New Roman"/>
                <w:b w:val="0"/>
                <w:i w:val="0"/>
                <w:sz w:val="18"/>
              </w:rPr>
              <w:t>[URL or N/A]</w:t>
            </w:r>
          </w:p>
        </w:tc>
      </w:tr>
      <w:tr>
        <w:tc>
          <w:tcPr>
            <w:tcW w:type="dxa" w:w="680"/>
          </w:tcPr>
          <w:p>
            <w:r/>
            <w:r>
              <w:rPr>
                <w:rFonts w:ascii="Times New Roman" w:hAnsi="Times New Roman" w:eastAsia="Times New Roman"/>
                <w:b w:val="0"/>
                <w:i w:val="0"/>
                <w:sz w:val="18"/>
              </w:rPr>
              <w:t>C4</w:t>
            </w:r>
          </w:p>
        </w:tc>
        <w:tc>
          <w:tcPr>
            <w:tcW w:type="dxa" w:w="3685"/>
          </w:tcPr>
          <w:p>
            <w:r/>
            <w:r>
              <w:rPr>
                <w:rFonts w:ascii="Times New Roman" w:hAnsi="Times New Roman" w:eastAsia="Times New Roman"/>
                <w:b w:val="0"/>
                <w:i w:val="0"/>
                <w:sz w:val="18"/>
              </w:rPr>
              <w:t>Legal code licence (OSI-approved required)</w:t>
            </w:r>
          </w:p>
        </w:tc>
        <w:tc>
          <w:tcPr>
            <w:tcW w:type="dxa" w:w="4819"/>
          </w:tcPr>
          <w:p>
            <w:r/>
            <w:r>
              <w:rPr>
                <w:rFonts w:ascii="Times New Roman" w:hAnsi="Times New Roman" w:eastAsia="Times New Roman"/>
                <w:b w:val="0"/>
                <w:i w:val="0"/>
                <w:sz w:val="18"/>
              </w:rPr>
              <w:t>[e.g. MIT — add LICENSE to repository]</w:t>
            </w:r>
          </w:p>
        </w:tc>
      </w:tr>
      <w:tr>
        <w:tc>
          <w:tcPr>
            <w:tcW w:type="dxa" w:w="680"/>
          </w:tcPr>
          <w:p>
            <w:r/>
            <w:r>
              <w:rPr>
                <w:rFonts w:ascii="Times New Roman" w:hAnsi="Times New Roman" w:eastAsia="Times New Roman"/>
                <w:b w:val="0"/>
                <w:i w:val="0"/>
                <w:sz w:val="18"/>
              </w:rPr>
              <w:t>C5</w:t>
            </w:r>
          </w:p>
        </w:tc>
        <w:tc>
          <w:tcPr>
            <w:tcW w:type="dxa" w:w="3685"/>
          </w:tcPr>
          <w:p>
            <w:r/>
            <w:r>
              <w:rPr>
                <w:rFonts w:ascii="Times New Roman" w:hAnsi="Times New Roman" w:eastAsia="Times New Roman"/>
                <w:b w:val="0"/>
                <w:i w:val="0"/>
                <w:sz w:val="18"/>
              </w:rPr>
              <w:t>Code versioning system used</w:t>
            </w:r>
          </w:p>
        </w:tc>
        <w:tc>
          <w:tcPr>
            <w:tcW w:type="dxa" w:w="4819"/>
          </w:tcPr>
          <w:p>
            <w:r/>
            <w:r>
              <w:rPr>
                <w:rFonts w:ascii="Times New Roman" w:hAnsi="Times New Roman" w:eastAsia="Times New Roman"/>
                <w:b w:val="0"/>
                <w:i w:val="0"/>
                <w:sz w:val="18"/>
              </w:rPr>
              <w:t>git</w:t>
            </w:r>
          </w:p>
        </w:tc>
      </w:tr>
      <w:tr>
        <w:tc>
          <w:tcPr>
            <w:tcW w:type="dxa" w:w="680"/>
          </w:tcPr>
          <w:p>
            <w:r/>
            <w:r>
              <w:rPr>
                <w:rFonts w:ascii="Times New Roman" w:hAnsi="Times New Roman" w:eastAsia="Times New Roman"/>
                <w:b w:val="0"/>
                <w:i w:val="0"/>
                <w:sz w:val="18"/>
              </w:rPr>
              <w:t>C6</w:t>
            </w:r>
          </w:p>
        </w:tc>
        <w:tc>
          <w:tcPr>
            <w:tcW w:type="dxa" w:w="3685"/>
          </w:tcPr>
          <w:p>
            <w:r/>
            <w:r>
              <w:rPr>
                <w:rFonts w:ascii="Times New Roman" w:hAnsi="Times New Roman" w:eastAsia="Times New Roman"/>
                <w:b w:val="0"/>
                <w:i w:val="0"/>
                <w:sz w:val="18"/>
              </w:rPr>
              <w:t>Software code languages, tools, and services used</w:t>
            </w:r>
          </w:p>
        </w:tc>
        <w:tc>
          <w:tcPr>
            <w:tcW w:type="dxa" w:w="4819"/>
          </w:tcPr>
          <w:p>
            <w:r/>
            <w:r>
              <w:rPr>
                <w:rFonts w:ascii="Times New Roman" w:hAnsi="Times New Roman" w:eastAsia="Times New Roman"/>
                <w:b w:val="0"/>
                <w:i w:val="0"/>
                <w:sz w:val="18"/>
              </w:rPr>
              <w:t>Python 3, Streamlit, matplotlib, NumPy, openpyxl</w:t>
            </w:r>
          </w:p>
        </w:tc>
      </w:tr>
      <w:tr>
        <w:tc>
          <w:tcPr>
            <w:tcW w:type="dxa" w:w="680"/>
          </w:tcPr>
          <w:p>
            <w:r/>
            <w:r>
              <w:rPr>
                <w:rFonts w:ascii="Times New Roman" w:hAnsi="Times New Roman" w:eastAsia="Times New Roman"/>
                <w:b w:val="0"/>
                <w:i w:val="0"/>
                <w:sz w:val="18"/>
              </w:rPr>
              <w:t>C7</w:t>
            </w:r>
          </w:p>
        </w:tc>
        <w:tc>
          <w:tcPr>
            <w:tcW w:type="dxa" w:w="3685"/>
          </w:tcPr>
          <w:p>
            <w:r/>
            <w:r>
              <w:rPr>
                <w:rFonts w:ascii="Times New Roman" w:hAnsi="Times New Roman" w:eastAsia="Times New Roman"/>
                <w:b w:val="0"/>
                <w:i w:val="0"/>
                <w:sz w:val="18"/>
              </w:rPr>
              <w:t>Compilation requirements, operating environments &amp; dependencies</w:t>
            </w:r>
          </w:p>
        </w:tc>
        <w:tc>
          <w:tcPr>
            <w:tcW w:type="dxa" w:w="4819"/>
          </w:tcPr>
          <w:p>
            <w:r/>
            <w:r>
              <w:rPr>
                <w:rFonts w:ascii="Times New Roman" w:hAnsi="Times New Roman" w:eastAsia="Times New Roman"/>
                <w:b w:val="0"/>
                <w:i w:val="0"/>
                <w:sz w:val="18"/>
              </w:rPr>
              <w:t>Python ≥3.10; pip install -r requirements.txt; or Streamlit Community Cloud</w:t>
            </w:r>
          </w:p>
        </w:tc>
      </w:tr>
      <w:tr>
        <w:tc>
          <w:tcPr>
            <w:tcW w:type="dxa" w:w="680"/>
          </w:tcPr>
          <w:p>
            <w:r/>
            <w:r>
              <w:rPr>
                <w:rFonts w:ascii="Times New Roman" w:hAnsi="Times New Roman" w:eastAsia="Times New Roman"/>
                <w:b w:val="0"/>
                <w:i w:val="0"/>
                <w:sz w:val="18"/>
              </w:rPr>
              <w:t>C8</w:t>
            </w:r>
          </w:p>
        </w:tc>
        <w:tc>
          <w:tcPr>
            <w:tcW w:type="dxa" w:w="3685"/>
          </w:tcPr>
          <w:p>
            <w:r/>
            <w:r>
              <w:rPr>
                <w:rFonts w:ascii="Times New Roman" w:hAnsi="Times New Roman" w:eastAsia="Times New Roman"/>
                <w:b w:val="0"/>
                <w:i w:val="0"/>
                <w:sz w:val="18"/>
              </w:rPr>
              <w:t>If available, link to developer documentation/manual</w:t>
            </w:r>
          </w:p>
        </w:tc>
        <w:tc>
          <w:tcPr>
            <w:tcW w:type="dxa" w:w="4819"/>
          </w:tcPr>
          <w:p>
            <w:r/>
            <w:r>
              <w:rPr>
                <w:rFonts w:ascii="Times New Roman" w:hAnsi="Times New Roman" w:eastAsia="Times New Roman"/>
                <w:b w:val="0"/>
                <w:i w:val="0"/>
                <w:sz w:val="18"/>
              </w:rPr>
              <w:t>MANUAL.md in repository; in-app Manual tab</w:t>
            </w:r>
          </w:p>
        </w:tc>
      </w:tr>
      <w:tr>
        <w:tc>
          <w:tcPr>
            <w:tcW w:type="dxa" w:w="680"/>
          </w:tcPr>
          <w:p>
            <w:r/>
            <w:r>
              <w:rPr>
                <w:rFonts w:ascii="Times New Roman" w:hAnsi="Times New Roman" w:eastAsia="Times New Roman"/>
                <w:b w:val="0"/>
                <w:i w:val="0"/>
                <w:sz w:val="18"/>
              </w:rPr>
              <w:t>C9</w:t>
            </w:r>
          </w:p>
        </w:tc>
        <w:tc>
          <w:tcPr>
            <w:tcW w:type="dxa" w:w="3685"/>
          </w:tcPr>
          <w:p>
            <w:r/>
            <w:r>
              <w:rPr>
                <w:rFonts w:ascii="Times New Roman" w:hAnsi="Times New Roman" w:eastAsia="Times New Roman"/>
                <w:b w:val="0"/>
                <w:i w:val="0"/>
                <w:sz w:val="18"/>
              </w:rPr>
              <w:t>Support email for questions</w:t>
            </w:r>
          </w:p>
        </w:tc>
        <w:tc>
          <w:tcPr>
            <w:tcW w:type="dxa" w:w="4819"/>
          </w:tcPr>
          <w:p>
            <w:r/>
            <w:r>
              <w:rPr>
                <w:rFonts w:ascii="Times New Roman" w:hAnsi="Times New Roman" w:eastAsia="Times New Roman"/>
                <w:b w:val="0"/>
                <w:i w:val="0"/>
                <w:sz w:val="18"/>
              </w:rPr>
              <w:t>[corresponding author email]</w:t>
            </w:r>
          </w:p>
        </w:tc>
      </w:tr>
    </w:tbl>
    <w:p/>
    <w:p>
      <w:pPr>
        <w:spacing w:before="240" w:after="120"/>
      </w:pPr>
      <w:r>
        <w:rPr>
          <w:rFonts w:ascii="Times New Roman" w:hAnsi="Times New Roman" w:eastAsia="Times New Roman"/>
          <w:b/>
          <w:i w:val="0"/>
          <w:sz w:val="24"/>
        </w:rPr>
        <w:t>1. Motivation and significance</w:t>
      </w:r>
    </w:p>
    <w:p>
      <w:pPr>
        <w:spacing w:after="120" w:before="0" w:line="276" w:lineRule="auto"/>
        <w:ind w:firstLine="425"/>
      </w:pPr>
      <w:r>
        <w:rPr>
          <w:rFonts w:ascii="Times New Roman" w:hAnsi="Times New Roman" w:eastAsia="Times New Roman"/>
          <w:b w:val="0"/>
          <w:i w:val="0"/>
          <w:sz w:val="22"/>
        </w:rPr>
        <w:t>Construction production systems are chains of specialised trades that hand work to one another across space and time. When upstream production is variable or handoffs are batched, downstream crews starve or wait, project duration grows, work-in-process (WIP) accumulates, and labour spends non-productive time on site. These mechanisms are central to Lean Construction and project production management, yet they remain difficult to experience in a lecture: spreadsheet demos are often opaque, and paper-based parade games do not scale to multi-metric comparison, cost accounting, or takt arithmetic within a single session.</w:t>
      </w:r>
    </w:p>
    <w:p>
      <w:pPr>
        <w:spacing w:after="120" w:before="0" w:line="276" w:lineRule="auto"/>
        <w:ind w:firstLine="425"/>
      </w:pPr>
      <w:r>
        <w:rPr>
          <w:rFonts w:ascii="Times New Roman" w:hAnsi="Times New Roman" w:eastAsia="Times New Roman"/>
          <w:b w:val="0"/>
          <w:i w:val="0"/>
          <w:sz w:val="22"/>
        </w:rPr>
        <w:t>The classic parade of trades / Parade Game pedagogy [1] established that workflow variability and trade interdependence drive system performance more than local productivity alone. Factory Physics and related production theory formalise the same ideas through Little’s Law, utilisation–variability–time (VUT) relationships, and inventory–service trade-offs [2–3,6–7]. In parallel, takt planning translates customer demand and available time into a production beat and zone structure for construction [4–5,9]. Educators need a single, transparent, open tool that (i) runs a zone-flow parade with controllable capacity, variability, and batch handoff; (ii) visualises Line of Balance (LOB), WIP, and utilisation; (iii) links outcomes to production laws; and (iv) introduces takt decisions (bays versus zones, time per floor) without requiring learners to install a programming stack.</w:t>
      </w:r>
    </w:p>
    <w:p>
      <w:pPr>
        <w:spacing w:after="120" w:before="0" w:line="276" w:lineRule="auto"/>
        <w:ind w:firstLine="425"/>
      </w:pPr>
      <w:r>
        <w:rPr>
          <w:rFonts w:ascii="Times New Roman" w:hAnsi="Times New Roman" w:eastAsia="Times New Roman"/>
          <w:b w:val="0"/>
          <w:i w:val="0"/>
          <w:sz w:val="22"/>
        </w:rPr>
        <w:t>Parade Tim Kerja (“Work-Team Parade”) addresses that gap. It provides: (1) an open, reproducible zone-flow engine for a five-trade concrete floor cycle (formwork, rebar, pour, strip, finish), with seedable variability and configurable batch handoff including one-piece flow; (2) classroom analytics—LOB, buffer WIP, utilisation, active/idle labour cost, multi-scenario comparison (2–5 scenarios), and CSV/Excel export; (3) theory bridges—Little’s Law / WIP–throughput–cycle-time views, Kingman-style VUT intuition, and inventory–fill-rate charts; (4) a takt-plan module grounded in fixed floor geometry (360 m², 3×3 m bays → 40 bays) where bay ≠ zone, with discrete zone counts {1, 5, 10, 20, 40}, capacity in bays/day, and owner time per floor, computing train duration TD = (TW + TZ − 1) × te with TW = 5; and (5) zero-install access via Streamlit in the browser, plus an Indonesian-language teaching manual for regional adoption.</w:t>
      </w:r>
    </w:p>
    <w:p>
      <w:pPr>
        <w:spacing w:after="160" w:before="0" w:line="276" w:lineRule="auto"/>
        <w:ind w:firstLine="425"/>
      </w:pPr>
      <w:r>
        <w:rPr>
          <w:rFonts w:ascii="Times New Roman" w:hAnsi="Times New Roman" w:eastAsia="Times New Roman"/>
          <w:b w:val="0"/>
          <w:i w:val="0"/>
          <w:sz w:val="22"/>
        </w:rPr>
        <w:t>The software is intended primarily for civil engineering and construction management education and Lean workshops; it also supports exploratory academic use wherever a transparent parade model with production metrics is required. Documented scientific and educational impact is summarised in Section 3 and should be updated with peer-reviewed outputs that used the tool [8].</w:t>
      </w:r>
    </w:p>
    <w:p>
      <w:pPr>
        <w:spacing w:before="240" w:after="120"/>
      </w:pPr>
      <w:r>
        <w:rPr>
          <w:rFonts w:ascii="Times New Roman" w:hAnsi="Times New Roman" w:eastAsia="Times New Roman"/>
          <w:b/>
          <w:i w:val="0"/>
          <w:sz w:val="24"/>
        </w:rPr>
        <w:t>2. Software description</w:t>
      </w:r>
    </w:p>
    <w:p>
      <w:pPr>
        <w:spacing w:before="160" w:after="120"/>
      </w:pPr>
      <w:r>
        <w:rPr>
          <w:rFonts w:ascii="Times New Roman" w:hAnsi="Times New Roman" w:eastAsia="Times New Roman"/>
          <w:b/>
          <w:i w:val="0"/>
          <w:sz w:val="22"/>
        </w:rPr>
        <w:t>2.1. Software architecture</w:t>
      </w:r>
    </w:p>
    <w:p>
      <w:pPr>
        <w:spacing w:after="120" w:before="0" w:line="276" w:lineRule="auto"/>
        <w:ind w:firstLine="425"/>
      </w:pPr>
      <w:r>
        <w:rPr>
          <w:rFonts w:ascii="Times New Roman" w:hAnsi="Times New Roman" w:eastAsia="Times New Roman"/>
          <w:b w:val="0"/>
          <w:i w:val="0"/>
          <w:sz w:val="22"/>
        </w:rPr>
        <w:t>Parade Tim Kerja is implemented in Python 3 and organised into modular components (Table 2). The runtime stack comprises Streamlit (interactive UI), matplotlib (charts), NumPy, and openpyxl (Excel export). The application deploys from a public GitHub repository to Streamlit Community Cloud (or equivalent), so learners only need a web browser. Default classroom parameters in the sidebar are 10 zones (aligned with default takt TZ = 10), random seed 12345, batch handoff size 4, five fixed trades, and an editable labour rate of 100 cost units per trade-period.</w:t>
      </w:r>
    </w:p>
    <w:p>
      <w:pPr>
        <w:spacing w:after="80" w:before="0" w:line="276" w:lineRule="auto"/>
      </w:pPr>
      <w:r>
        <w:rPr>
          <w:rFonts w:ascii="Times New Roman" w:hAnsi="Times New Roman" w:eastAsia="Times New Roman"/>
          <w:b w:val="0"/>
          <w:i/>
          <w:sz w:val="18"/>
        </w:rPr>
        <w:t>Table 2. Main software components.</w:t>
      </w:r>
    </w:p>
    <w:tbl>
      <w:tblPr>
        <w:tblStyle w:val="TableGrid"/>
        <w:tblW w:type="auto" w:w="0"/>
        <w:tblLook w:firstColumn="1" w:firstRow="1" w:lastColumn="0" w:lastRow="0" w:noHBand="0" w:noVBand="1" w:val="04A0"/>
      </w:tblPr>
      <w:tblGrid>
        <w:gridCol w:w="4819"/>
        <w:gridCol w:w="4819"/>
      </w:tblGrid>
      <w:tr>
        <w:tc>
          <w:tcPr>
            <w:tcW w:type="dxa" w:w="3118"/>
          </w:tcPr>
          <w:p>
            <w:r/>
            <w:r>
              <w:rPr>
                <w:rFonts w:ascii="Times New Roman" w:hAnsi="Times New Roman" w:eastAsia="Times New Roman"/>
                <w:b/>
                <w:i w:val="0"/>
                <w:sz w:val="18"/>
              </w:rPr>
              <w:t>Component</w:t>
            </w:r>
          </w:p>
        </w:tc>
        <w:tc>
          <w:tcPr>
            <w:tcW w:type="dxa" w:w="6236"/>
          </w:tcPr>
          <w:p>
            <w:r/>
            <w:r>
              <w:rPr>
                <w:rFonts w:ascii="Times New Roman" w:hAnsi="Times New Roman" w:eastAsia="Times New Roman"/>
                <w:b/>
                <w:i w:val="0"/>
                <w:sz w:val="18"/>
              </w:rPr>
              <w:t>Role</w:t>
            </w:r>
          </w:p>
        </w:tc>
      </w:tr>
      <w:tr>
        <w:tc>
          <w:tcPr>
            <w:tcW w:type="dxa" w:w="3118"/>
          </w:tcPr>
          <w:p>
            <w:r/>
            <w:r>
              <w:rPr>
                <w:rFonts w:ascii="Times New Roman" w:hAnsi="Times New Roman" w:eastAsia="Times New Roman"/>
                <w:b w:val="0"/>
                <w:i w:val="0"/>
                <w:sz w:val="18"/>
              </w:rPr>
              <w:t>parade_of_trades_core.py</w:t>
            </w:r>
          </w:p>
        </w:tc>
        <w:tc>
          <w:tcPr>
            <w:tcW w:type="dxa" w:w="6236"/>
          </w:tcPr>
          <w:p>
            <w:r/>
            <w:r>
              <w:rPr>
                <w:rFonts w:ascii="Times New Roman" w:hAnsi="Times New Roman" w:eastAsia="Times New Roman"/>
                <w:b w:val="0"/>
                <w:i w:val="0"/>
                <w:sz w:val="18"/>
              </w:rPr>
              <w:t>Discrete zone-flow engine: capacities, per-zone variability, batch handoff, production history, duration.</w:t>
            </w:r>
          </w:p>
        </w:tc>
      </w:tr>
      <w:tr>
        <w:tc>
          <w:tcPr>
            <w:tcW w:type="dxa" w:w="3118"/>
          </w:tcPr>
          <w:p>
            <w:r/>
            <w:r>
              <w:rPr>
                <w:rFonts w:ascii="Times New Roman" w:hAnsi="Times New Roman" w:eastAsia="Times New Roman"/>
                <w:b w:val="0"/>
                <w:i w:val="0"/>
                <w:sz w:val="18"/>
              </w:rPr>
              <w:t>parade_of_trades_analysis.py</w:t>
            </w:r>
          </w:p>
        </w:tc>
        <w:tc>
          <w:tcPr>
            <w:tcW w:type="dxa" w:w="6236"/>
          </w:tcPr>
          <w:p>
            <w:r/>
            <w:r>
              <w:rPr>
                <w:rFonts w:ascii="Times New Roman" w:hAnsi="Times New Roman" w:eastAsia="Times New Roman"/>
                <w:b w:val="0"/>
                <w:i w:val="0"/>
                <w:sz w:val="18"/>
              </w:rPr>
              <w:t>Active/idle cost, Little’s Law, Kingman-style metrics, inventory–fill rate, takt plan TD=(TW+TZ−1)×te, export.</w:t>
            </w:r>
          </w:p>
        </w:tc>
      </w:tr>
      <w:tr>
        <w:tc>
          <w:tcPr>
            <w:tcW w:type="dxa" w:w="3118"/>
          </w:tcPr>
          <w:p>
            <w:r/>
            <w:r>
              <w:rPr>
                <w:rFonts w:ascii="Times New Roman" w:hAnsi="Times New Roman" w:eastAsia="Times New Roman"/>
                <w:b w:val="0"/>
                <w:i w:val="0"/>
                <w:sz w:val="18"/>
              </w:rPr>
              <w:t>parade_of_trades_plots.py</w:t>
            </w:r>
          </w:p>
        </w:tc>
        <w:tc>
          <w:tcPr>
            <w:tcW w:type="dxa" w:w="6236"/>
          </w:tcPr>
          <w:p>
            <w:r/>
            <w:r>
              <w:rPr>
                <w:rFonts w:ascii="Times New Roman" w:hAnsi="Times New Roman" w:eastAsia="Times New Roman"/>
                <w:b w:val="0"/>
                <w:i w:val="0"/>
                <w:sz w:val="18"/>
              </w:rPr>
              <w:t>LOB, WIP, utilisation, cost comparison, takt wagon chart, theory plots (matplotlib).</w:t>
            </w:r>
          </w:p>
        </w:tc>
      </w:tr>
      <w:tr>
        <w:tc>
          <w:tcPr>
            <w:tcW w:type="dxa" w:w="3118"/>
          </w:tcPr>
          <w:p>
            <w:r/>
            <w:r>
              <w:rPr>
                <w:rFonts w:ascii="Times New Roman" w:hAnsi="Times New Roman" w:eastAsia="Times New Roman"/>
                <w:b w:val="0"/>
                <w:i w:val="0"/>
                <w:sz w:val="18"/>
              </w:rPr>
              <w:t>app.py</w:t>
            </w:r>
          </w:p>
        </w:tc>
        <w:tc>
          <w:tcPr>
            <w:tcW w:type="dxa" w:w="6236"/>
          </w:tcPr>
          <w:p>
            <w:r/>
            <w:r>
              <w:rPr>
                <w:rFonts w:ascii="Times New Roman" w:hAnsi="Times New Roman" w:eastAsia="Times New Roman"/>
                <w:b w:val="0"/>
                <w:i w:val="0"/>
                <w:sz w:val="18"/>
              </w:rPr>
              <w:t>Streamlit UI: sidebar, Simulation / Comparison / Takt plan / Manual tabs, downloads.</w:t>
            </w:r>
          </w:p>
        </w:tc>
      </w:tr>
      <w:tr>
        <w:tc>
          <w:tcPr>
            <w:tcW w:type="dxa" w:w="3118"/>
          </w:tcPr>
          <w:p>
            <w:r/>
            <w:r>
              <w:rPr>
                <w:rFonts w:ascii="Times New Roman" w:hAnsi="Times New Roman" w:eastAsia="Times New Roman"/>
                <w:b w:val="0"/>
                <w:i w:val="0"/>
                <w:sz w:val="18"/>
              </w:rPr>
              <w:t>MANUAL.md</w:t>
            </w:r>
          </w:p>
        </w:tc>
        <w:tc>
          <w:tcPr>
            <w:tcW w:type="dxa" w:w="6236"/>
          </w:tcPr>
          <w:p>
            <w:r/>
            <w:r>
              <w:rPr>
                <w:rFonts w:ascii="Times New Roman" w:hAnsi="Times New Roman" w:eastAsia="Times New Roman"/>
                <w:b w:val="0"/>
                <w:i w:val="0"/>
                <w:sz w:val="18"/>
              </w:rPr>
              <w:t>Indonesian teaching manual aligned with the current model.</w:t>
            </w:r>
          </w:p>
        </w:tc>
      </w:tr>
      <w:tr>
        <w:tc>
          <w:tcPr>
            <w:tcW w:type="dxa" w:w="3118"/>
          </w:tcPr>
          <w:p>
            <w:r/>
            <w:r>
              <w:rPr>
                <w:rFonts w:ascii="Times New Roman" w:hAnsi="Times New Roman" w:eastAsia="Times New Roman"/>
                <w:b w:val="0"/>
                <w:i w:val="0"/>
                <w:sz w:val="18"/>
              </w:rPr>
              <w:t>test_*.py</w:t>
            </w:r>
          </w:p>
        </w:tc>
        <w:tc>
          <w:tcPr>
            <w:tcW w:type="dxa" w:w="6236"/>
          </w:tcPr>
          <w:p>
            <w:r/>
            <w:r>
              <w:rPr>
                <w:rFonts w:ascii="Times New Roman" w:hAnsi="Times New Roman" w:eastAsia="Times New Roman"/>
                <w:b w:val="0"/>
                <w:i w:val="0"/>
                <w:sz w:val="18"/>
              </w:rPr>
              <w:t>Unit and regression tests for the core engine and plots.</w:t>
            </w:r>
          </w:p>
        </w:tc>
      </w:tr>
    </w:tbl>
    <w:p/>
    <w:p>
      <w:pPr>
        <w:spacing w:before="160" w:after="120"/>
      </w:pPr>
      <w:r>
        <w:rPr>
          <w:rFonts w:ascii="Times New Roman" w:hAnsi="Times New Roman" w:eastAsia="Times New Roman"/>
          <w:b/>
          <w:i w:val="0"/>
          <w:sz w:val="22"/>
        </w:rPr>
        <w:t>2.2. Software functionalities</w:t>
      </w:r>
    </w:p>
    <w:p>
      <w:pPr>
        <w:spacing w:after="120" w:before="0" w:line="276" w:lineRule="auto"/>
        <w:ind w:firstLine="425"/>
      </w:pPr>
      <w:r>
        <w:rPr>
          <w:rFonts w:ascii="Times New Roman" w:hAnsi="Times New Roman" w:eastAsia="Times New Roman"/>
          <w:b w:val="0"/>
          <w:i w:val="0"/>
          <w:sz w:val="22"/>
        </w:rPr>
        <w:t>Simulation (single scenario). Users select uniform or per-trade capacity profiles, variability level (none to very high), and batch handoff size. A run produces project duration, system throughput, summed active and idle team-periods (explicitly distinguished from calendar duration), active/idle cost, LOB, buffer WIP, utilisation, and deep-dive analytics for Little’s Law, Kingman-style intuition, and inventory–fill rate. Per-trade tables report start, finish, time on site, active/idle periods, and cost.</w:t>
      </w:r>
    </w:p>
    <w:p>
      <w:pPr>
        <w:spacing w:after="120" w:before="0" w:line="276" w:lineRule="auto"/>
        <w:ind w:firstLine="425"/>
      </w:pPr>
      <w:r>
        <w:rPr>
          <w:rFonts w:ascii="Times New Roman" w:hAnsi="Times New Roman" w:eastAsia="Times New Roman"/>
          <w:b w:val="0"/>
          <w:i w:val="0"/>
          <w:sz w:val="22"/>
        </w:rPr>
        <w:t>Comparison (2–5 scenarios). Quick fills include five variability levels, no-variability versus medium variability, and batch size 1 versus 4. Results are compared on duration, stacked active/idle cost, WIP, utilisation, and theory metrics, supporting head-to-head classroom discussion.</w:t>
      </w:r>
    </w:p>
    <w:p>
      <w:pPr>
        <w:spacing w:after="120" w:before="0" w:line="276" w:lineRule="auto"/>
        <w:ind w:firstLine="425"/>
      </w:pPr>
      <w:r>
        <w:rPr>
          <w:rFonts w:ascii="Times New Roman" w:hAnsi="Times New Roman" w:eastAsia="Times New Roman"/>
          <w:b w:val="0"/>
          <w:i w:val="0"/>
          <w:sz w:val="22"/>
        </w:rPr>
        <w:t>Takt plan (educational). Each floor is fixed at 360 m² with 3×3 m bays (9 m²), hence 40 bays per floor. Users set the number of floors (default 1), discrete zone count TZ ∈ {1, 5, 10, 20, 40} so that bays per zone are integers, available time per floor (default 15 days), and capacity in bays per day per team (default 4). Mapping: bays/zone = 40/TZ; zones/day = (bays/day)/(bays/zone); te = 1/(zones/day). Train duration per floor follows TD = (TW + TZ − 1) × te with TW = 5 wagons fixed. Wagon charts label trades T1–T5 on bars. Feasibility is checked against time per floor only.</w:t>
      </w:r>
    </w:p>
    <w:p>
      <w:pPr>
        <w:spacing w:after="120" w:before="0" w:line="276" w:lineRule="auto"/>
        <w:ind w:firstLine="425"/>
      </w:pPr>
      <w:r>
        <w:rPr>
          <w:rFonts w:ascii="Times New Roman" w:hAnsi="Times New Roman" w:eastAsia="Times New Roman"/>
          <w:b w:val="0"/>
          <w:i w:val="0"/>
          <w:sz w:val="22"/>
        </w:rPr>
        <w:t>Export and documentation. CSV/Excel downloads support assessment and presentations. An in-app Manual tab documents model definitions, including the cost window (start to own finish) and the distinction between bays and zones.</w:t>
      </w:r>
    </w:p>
    <w:p>
      <w:pPr>
        <w:spacing w:after="120" w:before="0" w:line="276" w:lineRule="auto"/>
        <w:ind w:firstLine="425"/>
      </w:pPr>
      <w:r>
        <w:rPr>
          <w:rFonts w:ascii="Times New Roman" w:hAnsi="Times New Roman" w:eastAsia="Times New Roman"/>
          <w:b w:val="0"/>
          <w:i w:val="0"/>
          <w:sz w:val="22"/>
        </w:rPr>
        <w:t>Fig. 1 illustrates a representative Line of Balance under variability. Fig. 2 shows a takt wagon chart for TZ = 10 with normal capacity of 4 bays/day (te = 1 day/zone), yielding TD = 14 days per floor.</w:t>
      </w:r>
    </w:p>
    <w:p>
      <w:pPr>
        <w:spacing w:after="40" w:before="0" w:line="276" w:lineRule="auto"/>
        <w:jc w:val="center"/>
      </w:pPr>
      <w:r>
        <w:rPr>
          <w:rFonts w:ascii="Times New Roman" w:hAnsi="Times New Roman" w:eastAsia="Times New Roman"/>
          <w:b w:val="0"/>
          <w:i/>
          <w:sz w:val="20"/>
        </w:rPr>
        <w:t>[Insert Figure 1 here — Line of Balance screenshot from the Simulation tab]</w:t>
      </w:r>
    </w:p>
    <w:p>
      <w:pPr>
        <w:spacing w:after="160" w:before="0" w:line="276" w:lineRule="auto"/>
      </w:pPr>
      <w:r>
        <w:rPr>
          <w:rFonts w:ascii="Times New Roman" w:hAnsi="Times New Roman" w:eastAsia="Times New Roman"/>
          <w:b w:val="0"/>
          <w:i/>
          <w:sz w:val="18"/>
        </w:rPr>
        <w:t>Fig. 1. Line of Balance for a five-trade zone-flow run (illustrative). Horizontal spacing between curves reflects waiting/buffer between trades.</w:t>
      </w:r>
    </w:p>
    <w:p>
      <w:pPr>
        <w:spacing w:after="40" w:before="0" w:line="276" w:lineRule="auto"/>
        <w:jc w:val="center"/>
      </w:pPr>
      <w:r>
        <w:rPr>
          <w:rFonts w:ascii="Times New Roman" w:hAnsi="Times New Roman" w:eastAsia="Times New Roman"/>
          <w:b w:val="0"/>
          <w:i/>
          <w:sz w:val="20"/>
        </w:rPr>
        <w:t>[Insert Figure 2 here — Takt wagon chart screenshot]</w:t>
      </w:r>
    </w:p>
    <w:p>
      <w:pPr>
        <w:spacing w:after="160" w:before="0" w:line="276" w:lineRule="auto"/>
      </w:pPr>
      <w:r>
        <w:rPr>
          <w:rFonts w:ascii="Times New Roman" w:hAnsi="Times New Roman" w:eastAsia="Times New Roman"/>
          <w:b w:val="0"/>
          <w:i/>
          <w:sz w:val="18"/>
        </w:rPr>
        <w:t>Fig. 2. Takt wagon chart for one floor (TW = 5, TZ = 10). Bar labels identify trades T1–T5.</w:t>
      </w:r>
    </w:p>
    <w:p>
      <w:pPr>
        <w:spacing w:before="240" w:after="120"/>
      </w:pPr>
      <w:r>
        <w:rPr>
          <w:rFonts w:ascii="Times New Roman" w:hAnsi="Times New Roman" w:eastAsia="Times New Roman"/>
          <w:b/>
          <w:i w:val="0"/>
          <w:sz w:val="24"/>
        </w:rPr>
        <w:t>3. Impact Overview</w:t>
      </w:r>
    </w:p>
    <w:p>
      <w:pPr>
        <w:spacing w:after="120" w:before="0" w:line="276" w:lineRule="auto"/>
        <w:ind w:firstLine="425"/>
      </w:pPr>
      <w:r>
        <w:rPr>
          <w:rFonts w:ascii="Times New Roman" w:hAnsi="Times New Roman" w:eastAsia="Times New Roman"/>
          <w:b w:val="0"/>
          <w:i w:val="0"/>
          <w:sz w:val="22"/>
        </w:rPr>
        <w:t>Software Impacts requires evidence that the software addresses a research or educational challenge and has contributed to scholarly outputs. The following statements must be completed with verifiable institutional and bibliographic data before submission.</w:t>
      </w:r>
    </w:p>
    <w:p>
      <w:pPr>
        <w:spacing w:before="160" w:after="120"/>
      </w:pPr>
      <w:r>
        <w:rPr>
          <w:rFonts w:ascii="Times New Roman" w:hAnsi="Times New Roman" w:eastAsia="Times New Roman"/>
          <w:b/>
          <w:i w:val="0"/>
          <w:sz w:val="22"/>
        </w:rPr>
        <w:t>3.1. Research and educational challenge addressed</w:t>
      </w:r>
    </w:p>
    <w:p>
      <w:pPr>
        <w:spacing w:after="120" w:before="0" w:line="276" w:lineRule="auto"/>
        <w:ind w:firstLine="425"/>
      </w:pPr>
      <w:r>
        <w:rPr>
          <w:rFonts w:ascii="Times New Roman" w:hAnsi="Times New Roman" w:eastAsia="Times New Roman"/>
          <w:b w:val="0"/>
          <w:i w:val="0"/>
          <w:sz w:val="22"/>
        </w:rPr>
        <w:t>The software operationalises parade-of-trades dynamics and production laws in a form suitable for repeatable classroom experiments and exploratory analysis of variability, batch handoff, labour idle cost, and takt zone granularity—topics that are otherwise taught only qualitatively or with one-off spreadsheets.</w:t>
      </w:r>
    </w:p>
    <w:p>
      <w:pPr>
        <w:spacing w:before="160" w:after="120"/>
      </w:pPr>
      <w:r>
        <w:rPr>
          <w:rFonts w:ascii="Times New Roman" w:hAnsi="Times New Roman" w:eastAsia="Times New Roman"/>
          <w:b/>
          <w:i w:val="0"/>
          <w:sz w:val="22"/>
        </w:rPr>
        <w:t>3.2. Evidence of use and scientific contribution</w:t>
      </w:r>
    </w:p>
    <w:p>
      <w:pPr>
        <w:spacing w:after="120" w:before="0" w:line="276" w:lineRule="auto"/>
        <w:ind w:firstLine="425"/>
      </w:pPr>
      <w:r>
        <w:rPr>
          <w:rFonts w:ascii="Times New Roman" w:hAnsi="Times New Roman" w:eastAsia="Times New Roman"/>
          <w:b w:val="0"/>
          <w:i w:val="0"/>
          <w:sz w:val="22"/>
        </w:rPr>
        <w:t>Teaching deployment. Parade Tim Kerja has been used in [COURSE CODE — Course name] at [University], [Country], with approximately [N] students in [semester/year]. Students ran controlled scenarios (e.g. variability sweep; batch 1 versus 4) and interpreted LOB, WIP, cost, and takt TD against owner time per floor.</w:t>
      </w:r>
    </w:p>
    <w:p>
      <w:pPr>
        <w:spacing w:after="120" w:before="0" w:line="276" w:lineRule="auto"/>
        <w:ind w:firstLine="425"/>
      </w:pPr>
      <w:r>
        <w:rPr>
          <w:rFonts w:ascii="Times New Roman" w:hAnsi="Times New Roman" w:eastAsia="Times New Roman"/>
          <w:b w:val="0"/>
          <w:i w:val="0"/>
          <w:sz w:val="22"/>
        </w:rPr>
        <w:t>Workshops. The tool supported Lean Construction / project production workshops at [event or institution], [year], reaching [N] practitioners/students.</w:t>
      </w:r>
    </w:p>
    <w:p>
      <w:pPr>
        <w:spacing w:after="120" w:before="0" w:line="276" w:lineRule="auto"/>
        <w:ind w:firstLine="425"/>
      </w:pPr>
      <w:r>
        <w:rPr>
          <w:rFonts w:ascii="Times New Roman" w:hAnsi="Times New Roman" w:eastAsia="Times New Roman"/>
          <w:b w:val="0"/>
          <w:i w:val="0"/>
          <w:sz w:val="22"/>
        </w:rPr>
        <w:t>Scholarly outputs. Results obtained with (or enabled by) the software appear in: [Author et al., Year. Full bibliographic reference of peer-reviewed article with DOI] [8]. Optional additional outputs: [thesis, conference paper, preprint].</w:t>
      </w:r>
    </w:p>
    <w:p>
      <w:pPr>
        <w:spacing w:after="120" w:before="0" w:line="276" w:lineRule="auto"/>
        <w:ind w:firstLine="425"/>
      </w:pPr>
      <w:r>
        <w:rPr>
          <w:rFonts w:ascii="Times New Roman" w:hAnsi="Times New Roman" w:eastAsia="Times New Roman"/>
          <w:b w:val="0"/>
          <w:i w:val="0"/>
          <w:sz w:val="22"/>
        </w:rPr>
        <w:t>Open reuse. Source code and the teaching manual are public. Instructors can fork parameters (zones, seed, rates) for local curricula once an OSI-approved licence file is present on the default branch.</w:t>
      </w:r>
    </w:p>
    <w:p>
      <w:pPr>
        <w:spacing w:before="160" w:after="120"/>
      </w:pPr>
      <w:r>
        <w:rPr>
          <w:rFonts w:ascii="Times New Roman" w:hAnsi="Times New Roman" w:eastAsia="Times New Roman"/>
          <w:b/>
          <w:i w:val="0"/>
          <w:sz w:val="22"/>
        </w:rPr>
        <w:t>3.3. Expected ongoing impact</w:t>
      </w:r>
    </w:p>
    <w:p>
      <w:pPr>
        <w:spacing w:after="160" w:before="0" w:line="276" w:lineRule="auto"/>
        <w:ind w:firstLine="425"/>
      </w:pPr>
      <w:r>
        <w:rPr>
          <w:rFonts w:ascii="Times New Roman" w:hAnsi="Times New Roman" w:eastAsia="Times New Roman"/>
          <w:b w:val="0"/>
          <w:i w:val="0"/>
          <w:sz w:val="22"/>
        </w:rPr>
        <w:t>We expect continued use in construction-management courses, replication of variability lessons with richer metrics (cost, Little’s Law, Kingman), and extensions to multi-floor or project-specific capacity data. Citation of the software and this Software Impacts article will provide a stable reference for reuse.</w:t>
      </w:r>
    </w:p>
    <w:p>
      <w:pPr>
        <w:spacing w:before="240" w:after="120"/>
      </w:pPr>
      <w:r>
        <w:rPr>
          <w:rFonts w:ascii="Times New Roman" w:hAnsi="Times New Roman" w:eastAsia="Times New Roman"/>
          <w:b/>
          <w:i w:val="0"/>
          <w:sz w:val="24"/>
        </w:rPr>
        <w:t>4. Illustrative examples</w:t>
      </w:r>
    </w:p>
    <w:p>
      <w:pPr>
        <w:spacing w:after="120" w:before="0" w:line="276" w:lineRule="auto"/>
        <w:ind w:firstLine="425"/>
      </w:pPr>
      <w:r>
        <w:rPr>
          <w:rFonts w:ascii="Times New Roman" w:hAnsi="Times New Roman" w:eastAsia="Times New Roman"/>
          <w:b w:val="0"/>
          <w:i w:val="0"/>
          <w:sz w:val="22"/>
        </w:rPr>
        <w:t>Example A — Variability and idle cost. With 10 zones, normal capacity, batch size 4, and no variability, calendar duration and team-period totals diverge conceptually: five trades overlap, so summed active team-periods can exceed project duration, while idle team-periods stay near zero. Raising variability increases starvation between trades, idle periods, idle cost, and duration—visible as LOB discontinuities and in stacked cost charts.</w:t>
      </w:r>
    </w:p>
    <w:p>
      <w:pPr>
        <w:spacing w:after="120" w:before="0" w:line="276" w:lineRule="auto"/>
        <w:ind w:firstLine="425"/>
      </w:pPr>
      <w:r>
        <w:rPr>
          <w:rFonts w:ascii="Times New Roman" w:hAnsi="Times New Roman" w:eastAsia="Times New Roman"/>
          <w:b w:val="0"/>
          <w:i w:val="0"/>
          <w:sz w:val="22"/>
        </w:rPr>
        <w:t>Example B — Batch handoff. Comparing batch 1 (one-piece flow) with batch 4 under no variability typically shortens calendar duration for smaller batches, while pure active work content may remain similar if crews never wait—reinforcing that project duration is not identical to active labour cost when idle is zero.</w:t>
      </w:r>
    </w:p>
    <w:p>
      <w:pPr>
        <w:spacing w:after="160" w:before="0" w:line="276" w:lineRule="auto"/>
        <w:ind w:firstLine="425"/>
      </w:pPr>
      <w:r>
        <w:rPr>
          <w:rFonts w:ascii="Times New Roman" w:hAnsi="Times New Roman" w:eastAsia="Times New Roman"/>
          <w:b w:val="0"/>
          <w:i w:val="0"/>
          <w:sz w:val="22"/>
        </w:rPr>
        <w:t>Example C — Takt zone granularity. For a 360 m² floor (40 bays), capacity 4 bays/day/team, and TW = 5: TZ = 10 yields 4 bays/zone and 1 zone/day (te = 1), hence TD = (5 + 10 − 1) × 1 = 14 days/floor; TZ = 20 yields 2 bays/zone and 2 zones/day (te = 0.5), hence TD = (5 + 20 − 1) × 0.5 = 12 days/floor. Relative to a 15-day owner allowance per floor, both nominal plans are feasible, whereas coarser zoning (e.g. TZ = 5) lengthens TD and may violate the allowance—supporting discussion of zone size as a planning decision rather than as customer demand.</w:t>
      </w:r>
    </w:p>
    <w:p>
      <w:pPr>
        <w:spacing w:before="240" w:after="120"/>
      </w:pPr>
      <w:r>
        <w:rPr>
          <w:rFonts w:ascii="Times New Roman" w:hAnsi="Times New Roman" w:eastAsia="Times New Roman"/>
          <w:b/>
          <w:i w:val="0"/>
          <w:sz w:val="24"/>
        </w:rPr>
        <w:t>5. Conclusions and future improvements</w:t>
      </w:r>
    </w:p>
    <w:p>
      <w:pPr>
        <w:spacing w:after="160" w:before="0" w:line="276" w:lineRule="auto"/>
        <w:ind w:firstLine="425"/>
      </w:pPr>
      <w:r>
        <w:rPr>
          <w:rFonts w:ascii="Times New Roman" w:hAnsi="Times New Roman" w:eastAsia="Times New Roman"/>
          <w:b w:val="0"/>
          <w:i w:val="0"/>
          <w:sz w:val="22"/>
        </w:rPr>
        <w:t>Parade Tim Kerja packages a transparent zone-flow parade engine, production-system analytics, labour active/idle costing, multi-scenario comparison, and a bay/zone-aware takt module in an open browser application aimed at construction education and workshop use. Future work may include multi-floor parallel scheduling, bilingual UI, import of field productivity samples, accessibility improvements, and packaged CodeOcean capsules for formal reproducibility badges.</w:t>
      </w:r>
    </w:p>
    <w:p>
      <w:pPr>
        <w:spacing w:before="240" w:after="120"/>
      </w:pPr>
      <w:r>
        <w:rPr>
          <w:rFonts w:ascii="Times New Roman" w:hAnsi="Times New Roman" w:eastAsia="Times New Roman"/>
          <w:b/>
          <w:i w:val="0"/>
          <w:sz w:val="24"/>
        </w:rPr>
        <w:t>CRediT authorship contribution statement</w:t>
      </w:r>
    </w:p>
    <w:p>
      <w:pPr>
        <w:spacing w:after="160" w:before="0" w:line="276" w:lineRule="auto"/>
      </w:pPr>
      <w:r>
        <w:rPr>
          <w:rFonts w:ascii="Times New Roman" w:hAnsi="Times New Roman" w:eastAsia="Times New Roman"/>
          <w:b w:val="0"/>
          <w:i w:val="0"/>
          <w:sz w:val="20"/>
        </w:rPr>
        <w:t>[Author A]: Conceptualization, Methodology, Software, Writing – original draft. [Author B]: Software, Validation, Writing – review &amp; editing. [Complete using the Elsevier CRediT taxonomy.]</w:t>
      </w:r>
    </w:p>
    <w:p>
      <w:pPr>
        <w:spacing w:before="240" w:after="120"/>
      </w:pPr>
      <w:r>
        <w:rPr>
          <w:rFonts w:ascii="Times New Roman" w:hAnsi="Times New Roman" w:eastAsia="Times New Roman"/>
          <w:b/>
          <w:i w:val="0"/>
          <w:sz w:val="24"/>
        </w:rPr>
        <w:t>Declaration of competing interest</w:t>
      </w:r>
    </w:p>
    <w:p>
      <w:pPr>
        <w:spacing w:after="160" w:before="0" w:line="276" w:lineRule="auto"/>
      </w:pPr>
      <w:r>
        <w:rPr>
          <w:rFonts w:ascii="Times New Roman" w:hAnsi="Times New Roman" w:eastAsia="Times New Roman"/>
          <w:b w:val="0"/>
          <w:i w:val="0"/>
          <w:sz w:val="20"/>
        </w:rPr>
        <w:t>The authors declare that they have no known competing financial interests or personal relationships that could have appeared to influence the work reported in this paper.</w:t>
      </w:r>
    </w:p>
    <w:p>
      <w:pPr>
        <w:spacing w:before="240" w:after="120"/>
      </w:pPr>
      <w:r>
        <w:rPr>
          <w:rFonts w:ascii="Times New Roman" w:hAnsi="Times New Roman" w:eastAsia="Times New Roman"/>
          <w:b/>
          <w:i w:val="0"/>
          <w:sz w:val="24"/>
        </w:rPr>
        <w:t>Acknowledgements</w:t>
      </w:r>
    </w:p>
    <w:p>
      <w:pPr>
        <w:spacing w:after="160" w:before="0" w:line="276" w:lineRule="auto"/>
      </w:pPr>
      <w:r>
        <w:rPr>
          <w:rFonts w:ascii="Times New Roman" w:hAnsi="Times New Roman" w:eastAsia="Times New Roman"/>
          <w:b w:val="0"/>
          <w:i/>
          <w:sz w:val="20"/>
        </w:rPr>
        <w:t>[Optional: colleagues, classroom testers, or institutions that supported pilots.]</w:t>
      </w:r>
    </w:p>
    <w:p>
      <w:pPr>
        <w:spacing w:before="240" w:after="120"/>
      </w:pPr>
      <w:r>
        <w:rPr>
          <w:rFonts w:ascii="Times New Roman" w:hAnsi="Times New Roman" w:eastAsia="Times New Roman"/>
          <w:b/>
          <w:i w:val="0"/>
          <w:sz w:val="24"/>
        </w:rPr>
        <w:t>Funding</w:t>
      </w:r>
    </w:p>
    <w:p>
      <w:pPr>
        <w:spacing w:after="160" w:before="0" w:line="276" w:lineRule="auto"/>
      </w:pPr>
      <w:r>
        <w:rPr>
          <w:rFonts w:ascii="Times New Roman" w:hAnsi="Times New Roman" w:eastAsia="Times New Roman"/>
          <w:b w:val="0"/>
          <w:i w:val="0"/>
          <w:sz w:val="20"/>
        </w:rPr>
        <w:t>This research did not receive any specific grant from funding agencies in the public, commercial, or not-for-profit sectors. [Or state grant details.]</w:t>
      </w:r>
    </w:p>
    <w:p>
      <w:pPr>
        <w:spacing w:before="240" w:after="120"/>
      </w:pPr>
      <w:r>
        <w:rPr>
          <w:rFonts w:ascii="Times New Roman" w:hAnsi="Times New Roman" w:eastAsia="Times New Roman"/>
          <w:b/>
          <w:i w:val="0"/>
          <w:sz w:val="24"/>
        </w:rPr>
        <w:t>Declaration of generative AI and AI-assisted technologies in the manuscript preparation process</w:t>
      </w:r>
    </w:p>
    <w:p>
      <w:pPr>
        <w:spacing w:after="160" w:before="0" w:line="276" w:lineRule="auto"/>
      </w:pPr>
      <w:r>
        <w:rPr>
          <w:rFonts w:ascii="Times New Roman" w:hAnsi="Times New Roman" w:eastAsia="Times New Roman"/>
          <w:b w:val="0"/>
          <w:i w:val="0"/>
          <w:sz w:val="20"/>
        </w:rPr>
        <w:t>[If applicable:] During the preparation of this work the author(s) used [TOOL] in order to [improve language / draft structure]. After using this tool/service, the author(s) reviewed and edited the content as needed and take(s) full responsibility for the content of the publication. [If none, delete this section or state that no generative AI was used for manuscript text.]</w:t>
      </w:r>
    </w:p>
    <w:p>
      <w:pPr>
        <w:spacing w:before="240" w:after="120"/>
      </w:pPr>
      <w:r>
        <w:rPr>
          <w:rFonts w:ascii="Times New Roman" w:hAnsi="Times New Roman" w:eastAsia="Times New Roman"/>
          <w:b/>
          <w:i w:val="0"/>
          <w:sz w:val="24"/>
        </w:rPr>
        <w:t>Data availability</w:t>
      </w:r>
    </w:p>
    <w:p>
      <w:pPr>
        <w:spacing w:after="160" w:before="0" w:line="276" w:lineRule="auto"/>
      </w:pPr>
      <w:r>
        <w:rPr>
          <w:rFonts w:ascii="Times New Roman" w:hAnsi="Times New Roman" w:eastAsia="Times New Roman"/>
          <w:b w:val="0"/>
          <w:i w:val="0"/>
          <w:sz w:val="20"/>
        </w:rPr>
        <w:t>Simulation outputs are generated at runtime from user parameters and optional random seeds; they are not deposited as a static dataset. Example exports can be reproduced from the public repository using the documented defaults (total zones = 10, seed = 12345). The teaching manual is included in the repository (MANUAL.md).</w:t>
      </w:r>
    </w:p>
    <w:p>
      <w:pPr>
        <w:spacing w:before="240" w:after="120"/>
      </w:pPr>
      <w:r>
        <w:rPr>
          <w:rFonts w:ascii="Times New Roman" w:hAnsi="Times New Roman" w:eastAsia="Times New Roman"/>
          <w:b/>
          <w:i w:val="0"/>
          <w:sz w:val="24"/>
        </w:rPr>
        <w:t>Software availability</w:t>
      </w:r>
    </w:p>
    <w:p>
      <w:pPr>
        <w:spacing w:after="200" w:before="0" w:line="276" w:lineRule="auto"/>
      </w:pPr>
      <w:r>
        <w:rPr>
          <w:rFonts w:ascii="Times New Roman" w:hAnsi="Times New Roman" w:eastAsia="Times New Roman"/>
          <w:b w:val="0"/>
          <w:i w:val="0"/>
          <w:sz w:val="20"/>
        </w:rPr>
        <w:t>Program title: Parade Tim Kerja. Developers: [Names]. Contact address: [email]. Year first available: 2026. Hardware requirements: standard web browser, or PC with Python 3. Software requirements: see requirements.txt. Program language: Python. Source code: https://github.com/m46d45/Parade-Tim-Kerja . Live demonstration: [https://____.streamlit.app].</w:t>
      </w:r>
    </w:p>
    <w:p>
      <w:pPr>
        <w:spacing w:before="240" w:after="120"/>
      </w:pPr>
      <w:r>
        <w:rPr>
          <w:rFonts w:ascii="Times New Roman" w:hAnsi="Times New Roman" w:eastAsia="Times New Roman"/>
          <w:b/>
          <w:i w:val="0"/>
          <w:sz w:val="24"/>
        </w:rPr>
        <w:t>References</w:t>
      </w:r>
    </w:p>
    <w:p>
      <w:pPr>
        <w:spacing w:after="80"/>
        <w:ind w:left="425" w:hanging="425"/>
      </w:pPr>
      <w:r>
        <w:rPr>
          <w:rFonts w:ascii="Times New Roman" w:hAnsi="Times New Roman" w:eastAsia="Times New Roman"/>
          <w:b w:val="0"/>
          <w:i w:val="0"/>
          <w:sz w:val="18"/>
        </w:rPr>
        <w:t>[1] I.D. Tommelein, D. Riley, G.A. Howell, Parade Game: Impact of work flow variability on trade performance, J. Constr. Eng. Manage. 125 (5) (1999) 304–310. https://doi.org/10.1061/(ASCE)0733-9364(1999)125:5(304)</w:t>
      </w:r>
    </w:p>
    <w:p>
      <w:pPr>
        <w:spacing w:after="80"/>
        <w:ind w:left="425" w:hanging="425"/>
      </w:pPr>
      <w:r>
        <w:rPr>
          <w:rFonts w:ascii="Times New Roman" w:hAnsi="Times New Roman" w:eastAsia="Times New Roman"/>
          <w:b w:val="0"/>
          <w:i w:val="0"/>
          <w:sz w:val="18"/>
        </w:rPr>
        <w:t>[2] W.J. Hopp, M.L. Spearman, Factory Physics, 3rd ed., Waveland Press, Long Grove, IL, 2011.</w:t>
      </w:r>
    </w:p>
    <w:p>
      <w:pPr>
        <w:spacing w:after="80"/>
        <w:ind w:left="425" w:hanging="425"/>
      </w:pPr>
      <w:r>
        <w:rPr>
          <w:rFonts w:ascii="Times New Roman" w:hAnsi="Times New Roman" w:eastAsia="Times New Roman"/>
          <w:b w:val="0"/>
          <w:i w:val="0"/>
          <w:sz w:val="18"/>
        </w:rPr>
        <w:t>[3] J.D.C. Little, S.C. Graves, Little’s Law, in: D. Chhajed, T.J. Lowe (Eds.), Building Intuition, Springer, 2008, pp. 81–100. https://doi.org/10.1007/978-0-387-73699-0_5</w:t>
      </w:r>
    </w:p>
    <w:p>
      <w:pPr>
        <w:spacing w:after="80"/>
        <w:ind w:left="425" w:hanging="425"/>
      </w:pPr>
      <w:r>
        <w:rPr>
          <w:rFonts w:ascii="Times New Roman" w:hAnsi="Times New Roman" w:eastAsia="Times New Roman"/>
          <w:b w:val="0"/>
          <w:i w:val="0"/>
          <w:sz w:val="18"/>
        </w:rPr>
        <w:t>[4] Lean Enterprise Institute, Takt time, LEI Lexicon. https://www.lean.org/lexicon-terms/takt-time/ (accessed 5 August 2026).</w:t>
      </w:r>
    </w:p>
    <w:p>
      <w:pPr>
        <w:spacing w:after="80"/>
        <w:ind w:left="425" w:hanging="425"/>
      </w:pPr>
      <w:r>
        <w:rPr>
          <w:rFonts w:ascii="Times New Roman" w:hAnsi="Times New Roman" w:eastAsia="Times New Roman"/>
          <w:b w:val="0"/>
          <w:i w:val="0"/>
          <w:sz w:val="18"/>
        </w:rPr>
        <w:t>[5] A. Frandson, K. Berghede, I.D. Tommelein, Takt time planning for construction of exterior cladding, in: Proc. 21st Annual Conference of the International Group for Lean Construction (IGLC), Fortaleza, Brazil, 2013.</w:t>
      </w:r>
    </w:p>
    <w:p>
      <w:pPr>
        <w:spacing w:after="80"/>
        <w:ind w:left="425" w:hanging="425"/>
      </w:pPr>
      <w:r>
        <w:rPr>
          <w:rFonts w:ascii="Times New Roman" w:hAnsi="Times New Roman" w:eastAsia="Times New Roman"/>
          <w:b w:val="0"/>
          <w:i w:val="0"/>
          <w:sz w:val="18"/>
        </w:rPr>
        <w:t>[6] Project Production Institute, Little’s Law in production systems with yield loss. https://projectproduction.org/journal/littles-law-in-production-systems-with-yield-loss/ (accessed 5 August 2026).</w:t>
      </w:r>
    </w:p>
    <w:p>
      <w:pPr>
        <w:spacing w:after="80"/>
        <w:ind w:left="425" w:hanging="425"/>
      </w:pPr>
      <w:r>
        <w:rPr>
          <w:rFonts w:ascii="Times New Roman" w:hAnsi="Times New Roman" w:eastAsia="Times New Roman"/>
          <w:b w:val="0"/>
          <w:i w:val="0"/>
          <w:sz w:val="18"/>
        </w:rPr>
        <w:t>[7] J.F.C. Kingman, The single server queue in heavy traffic, Math. Proc. Cambridge Philos. Soc. 57 (4) (1961) 902–904. https://doi.org/10.1017/S0305004100036094</w:t>
      </w:r>
    </w:p>
    <w:p>
      <w:pPr>
        <w:spacing w:after="80"/>
        <w:ind w:left="425" w:hanging="425"/>
      </w:pPr>
      <w:r>
        <w:rPr>
          <w:rFonts w:ascii="Times New Roman" w:hAnsi="Times New Roman" w:eastAsia="Times New Roman"/>
          <w:b w:val="0"/>
          <w:i w:val="0"/>
          <w:sz w:val="18"/>
        </w:rPr>
        <w:t>[8] [PLACEHOLDER — Peer-reviewed article that used Parade Tim Kerja; full citation with DOI. Required for Software Impacts.]</w:t>
      </w:r>
    </w:p>
    <w:p>
      <w:pPr>
        <w:spacing w:after="80"/>
        <w:ind w:left="425" w:hanging="425"/>
      </w:pPr>
      <w:r>
        <w:rPr>
          <w:rFonts w:ascii="Times New Roman" w:hAnsi="Times New Roman" w:eastAsia="Times New Roman"/>
          <w:b w:val="0"/>
          <w:i w:val="0"/>
          <w:sz w:val="18"/>
        </w:rPr>
        <w:t>[9] Lean Built, Is takt really magic? https://leanbuilt.us/is-takt-really-magic/ (accessed 5 August 2026).</w:t>
      </w:r>
    </w:p>
    <w:p>
      <w:r>
        <w:br w:type="page"/>
      </w:r>
    </w:p>
    <w:p>
      <w:pPr>
        <w:spacing w:before="240" w:after="120"/>
      </w:pPr>
      <w:r>
        <w:rPr>
          <w:rFonts w:ascii="Times New Roman" w:hAnsi="Times New Roman" w:eastAsia="Times New Roman"/>
          <w:b/>
          <w:i w:val="0"/>
          <w:sz w:val="24"/>
        </w:rPr>
        <w:t>Author notes (not for journal PDF)</w:t>
      </w:r>
    </w:p>
    <w:p>
      <w:pPr>
        <w:spacing w:after="80" w:before="0" w:line="276" w:lineRule="auto"/>
      </w:pPr>
      <w:r>
        <w:rPr>
          <w:rFonts w:ascii="Times New Roman" w:hAnsi="Times New Roman" w:eastAsia="Times New Roman"/>
          <w:b w:val="0"/>
          <w:i w:val="0"/>
          <w:sz w:val="20"/>
        </w:rPr>
        <w:t>1. Copy-paste or open this DOCX alongside Elsevier’s official SIMPAC_OSP_Template.docx and merge into the official styles if the editorial system requires the branded template.</w:t>
      </w:r>
    </w:p>
    <w:p>
      <w:pPr>
        <w:spacing w:after="80" w:before="0" w:line="276" w:lineRule="auto"/>
      </w:pPr>
      <w:r>
        <w:rPr>
          <w:rFonts w:ascii="Times New Roman" w:hAnsi="Times New Roman" w:eastAsia="Times New Roman"/>
          <w:b w:val="0"/>
          <w:i w:val="0"/>
          <w:sz w:val="20"/>
        </w:rPr>
        <w:t>2. Submit Highlights as a separate file (see SOFTWARE_IMPACTS_HIGHLIGHTS.txt in the repository).</w:t>
      </w:r>
    </w:p>
    <w:p>
      <w:pPr>
        <w:spacing w:after="80" w:before="0" w:line="276" w:lineRule="auto"/>
      </w:pPr>
      <w:r>
        <w:rPr>
          <w:rFonts w:ascii="Times New Roman" w:hAnsi="Times New Roman" w:eastAsia="Times New Roman"/>
          <w:b w:val="0"/>
          <w:i w:val="0"/>
          <w:sz w:val="20"/>
        </w:rPr>
        <w:t>3. Add an OSI-approved LICENSE file to the GitHub repository and release a version tag (e.g. v1.0.0) before submission.</w:t>
      </w:r>
    </w:p>
    <w:p>
      <w:pPr>
        <w:spacing w:after="80" w:before="0" w:line="276" w:lineRule="auto"/>
      </w:pPr>
      <w:r>
        <w:rPr>
          <w:rFonts w:ascii="Times New Roman" w:hAnsi="Times New Roman" w:eastAsia="Times New Roman"/>
          <w:b w:val="0"/>
          <w:i w:val="0"/>
          <w:sz w:val="20"/>
        </w:rPr>
        <w:t>4. Complete Section 3 Impact Overview with real course/workshop numbers and at least one peer-reviewed citation in [8].</w:t>
      </w:r>
    </w:p>
    <w:p>
      <w:pPr>
        <w:spacing w:after="80" w:before="0" w:line="276" w:lineRule="auto"/>
      </w:pPr>
      <w:r>
        <w:rPr>
          <w:rFonts w:ascii="Times New Roman" w:hAnsi="Times New Roman" w:eastAsia="Times New Roman"/>
          <w:b w:val="0"/>
          <w:i w:val="0"/>
          <w:sz w:val="20"/>
        </w:rPr>
        <w:t>5. Replace Figure placeholders with high-resolution screenshots (≥300 dpi).</w:t>
      </w:r>
    </w:p>
    <w:p>
      <w:pPr>
        <w:spacing w:after="80" w:before="0" w:line="276" w:lineRule="auto"/>
      </w:pPr>
      <w:r>
        <w:rPr>
          <w:rFonts w:ascii="Times New Roman" w:hAnsi="Times New Roman" w:eastAsia="Times New Roman"/>
          <w:b w:val="0"/>
          <w:i w:val="0"/>
          <w:sz w:val="20"/>
        </w:rPr>
        <w:t>6. Fill all [PLACEHOLDER] fields and remove this ‘Author notes’ page before final upload.</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