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eastAsia="Times New Roman"/>
          <w:b w:val="0"/>
          <w:i/>
          <w:sz w:val="18"/>
        </w:rPr>
        <w:t>Software Impacts — Original Software Publication (OSP) manuscript draft</w:t>
      </w:r>
    </w:p>
    <w:p>
      <w:pPr>
        <w:spacing w:after="200" w:before="0" w:line="276" w:lineRule="auto"/>
        <w:jc w:val="center"/>
      </w:pPr>
      <w:r>
        <w:rPr>
          <w:rFonts w:ascii="Times New Roman" w:hAnsi="Times New Roman" w:eastAsia="Times New Roman"/>
          <w:b w:val="0"/>
          <w:i/>
          <w:sz w:val="18"/>
        </w:rPr>
        <w:t>Includes lineage from Tommelein Parade of Trades and differentiation table · Edit [PLACEHOLDER] fields</w:t>
      </w:r>
    </w:p>
    <w:p>
      <w:pPr>
        <w:spacing w:after="200" w:before="0" w:line="276" w:lineRule="auto"/>
        <w:jc w:val="center"/>
      </w:pPr>
      <w:r>
        <w:rPr>
          <w:rFonts w:ascii="Times New Roman" w:hAnsi="Times New Roman" w:eastAsia="Times New Roman"/>
          <w:b/>
          <w:i w:val="0"/>
          <w:sz w:val="28"/>
        </w:rPr>
        <w:t>Parade Tim Kerja: an open educational simulator of zone-flow construction production, variability, cost, and takt planning</w:t>
      </w:r>
    </w:p>
    <w:p>
      <w:pPr>
        <w:spacing w:after="80" w:before="0" w:line="276" w:lineRule="auto"/>
        <w:jc w:val="center"/>
      </w:pPr>
      <w:r>
        <w:rPr>
          <w:rFonts w:ascii="Times New Roman" w:hAnsi="Times New Roman" w:eastAsia="Times New Roman"/>
          <w:b w:val="0"/>
          <w:i w:val="0"/>
          <w:sz w:val="22"/>
        </w:rPr>
        <w:t>[Given name Family name]a,*, [Given name Family name]a</w:t>
      </w:r>
    </w:p>
    <w:p>
      <w:pPr>
        <w:spacing w:after="80" w:before="0" w:line="276" w:lineRule="auto"/>
        <w:jc w:val="center"/>
      </w:pPr>
      <w:r>
        <w:rPr>
          <w:rFonts w:ascii="Times New Roman" w:hAnsi="Times New Roman" w:eastAsia="Times New Roman"/>
          <w:b w:val="0"/>
          <w:i/>
          <w:sz w:val="20"/>
        </w:rPr>
        <w:t>a [Department], [Faculty], [University], [City], [Country]</w:t>
      </w:r>
    </w:p>
    <w:p>
      <w:pPr>
        <w:spacing w:after="200" w:before="0" w:line="276" w:lineRule="auto"/>
        <w:jc w:val="center"/>
      </w:pPr>
      <w:r>
        <w:rPr>
          <w:rFonts w:ascii="Times New Roman" w:hAnsi="Times New Roman" w:eastAsia="Times New Roman"/>
          <w:b w:val="0"/>
          <w:i w:val="0"/>
          <w:sz w:val="20"/>
        </w:rPr>
        <w:t>* Corresponding author. E-mail address: [email@institution.edu].</w:t>
      </w:r>
    </w:p>
    <w:p>
      <w:pPr>
        <w:spacing w:before="240" w:after="120"/>
      </w:pPr>
      <w:r>
        <w:rPr>
          <w:rFonts w:ascii="Times New Roman" w:hAnsi="Times New Roman" w:eastAsia="Times New Roman"/>
          <w:b/>
          <w:i w:val="0"/>
          <w:sz w:val="24"/>
        </w:rPr>
        <w:t>Abstract</w:t>
      </w:r>
    </w:p>
    <w:p>
      <w:pPr>
        <w:spacing w:after="120" w:before="0" w:line="276" w:lineRule="auto"/>
      </w:pPr>
      <w:r>
        <w:rPr>
          <w:rFonts w:ascii="Times New Roman" w:hAnsi="Times New Roman" w:eastAsia="Times New Roman"/>
          <w:b w:val="0"/>
          <w:i w:val="0"/>
          <w:sz w:val="20"/>
        </w:rPr>
        <w:t>Parade Tim Kerja (“Work-Team Parade”) is an open-source, browser-based simulator for teaching and exploring project-production behaviour in construction. Building on the Parade of Trades / Parade Game tradition of Tommelein and colleagues—including the computer-based Parade of Trades implementation—the tool implements a zone-flow parade of trades model for a five-trade concrete floor cycle: sequential crews advance across spatial zones under capacity limits, batch handoff policies, and optional per-zone production variability. Relative to the original teaching game and legacy Visual Basic software, Parade Tim Kerja adds open web delivery, Line of Balance, WIP and utilisation analytics, active/idle labour costing, multi-scenario comparison, Factory Physics–style theory links (Little’s Law, Kingman/VUT, inventory–fill rate), and an educational takt module that separates physical bays from planning zones. Results export to CSV/Excel. The software uses Python and Streamlit, ships with an Indonesian teaching manual, and is released for civil engineering education, Lean Construction workshops, and reproducible classroom experiments.</w:t>
      </w:r>
    </w:p>
    <w:p>
      <w:pPr>
        <w:spacing w:after="200" w:before="0" w:line="276" w:lineRule="auto"/>
      </w:pPr>
      <w:r>
        <w:rPr>
          <w:rFonts w:ascii="Times New Roman" w:hAnsi="Times New Roman" w:eastAsia="Times New Roman"/>
          <w:b w:val="0"/>
          <w:i/>
          <w:sz w:val="20"/>
        </w:rPr>
        <w:t>Keywords: construction simulation; lean construction; parade of trades; takt planning; Little's Law; educational software; zone flow</w:t>
      </w:r>
    </w:p>
    <w:p>
      <w:pPr>
        <w:spacing w:before="240" w:after="120"/>
      </w:pPr>
      <w:r>
        <w:rPr>
          <w:rFonts w:ascii="Times New Roman" w:hAnsi="Times New Roman" w:eastAsia="Times New Roman"/>
          <w:b/>
          <w:i w:val="0"/>
          <w:sz w:val="24"/>
        </w:rPr>
        <w:t>Code metadata</w:t>
      </w:r>
    </w:p>
    <w:p>
      <w:pPr>
        <w:spacing w:after="80" w:before="0" w:line="276" w:lineRule="auto"/>
      </w:pPr>
      <w:r>
        <w:rPr>
          <w:rFonts w:ascii="Times New Roman" w:hAnsi="Times New Roman" w:eastAsia="Times New Roman"/>
          <w:b w:val="0"/>
          <w:i/>
          <w:sz w:val="18"/>
        </w:rPr>
        <w:t>Table 1. Code metadata.</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rFonts w:ascii="Times New Roman" w:hAnsi="Times New Roman" w:eastAsia="Times New Roman"/>
                <w:b/>
                <w:i w:val="0"/>
                <w:sz w:val="16"/>
              </w:rPr>
              <w:t>Nr</w:t>
            </w:r>
          </w:p>
        </w:tc>
        <w:tc>
          <w:tcPr>
            <w:tcW w:type="dxa" w:w="3213"/>
          </w:tcPr>
          <w:p>
            <w:r/>
            <w:r>
              <w:rPr>
                <w:rFonts w:ascii="Times New Roman" w:hAnsi="Times New Roman" w:eastAsia="Times New Roman"/>
                <w:b/>
                <w:i w:val="0"/>
                <w:sz w:val="16"/>
              </w:rPr>
              <w:t>Code metadata description</w:t>
            </w:r>
          </w:p>
        </w:tc>
        <w:tc>
          <w:tcPr>
            <w:tcW w:type="dxa" w:w="3213"/>
          </w:tcPr>
          <w:p>
            <w:r/>
            <w:r>
              <w:rPr>
                <w:rFonts w:ascii="Times New Roman" w:hAnsi="Times New Roman" w:eastAsia="Times New Roman"/>
                <w:b/>
                <w:i w:val="0"/>
                <w:sz w:val="16"/>
              </w:rPr>
              <w:t>Please fill in this column</w:t>
            </w:r>
          </w:p>
        </w:tc>
      </w:tr>
      <w:tr>
        <w:tc>
          <w:tcPr>
            <w:tcW w:type="dxa" w:w="3213"/>
          </w:tcPr>
          <w:p>
            <w:r/>
            <w:r>
              <w:rPr>
                <w:rFonts w:ascii="Times New Roman" w:hAnsi="Times New Roman" w:eastAsia="Times New Roman"/>
                <w:b w:val="0"/>
                <w:i w:val="0"/>
                <w:sz w:val="16"/>
              </w:rPr>
              <w:t>C1</w:t>
            </w:r>
          </w:p>
        </w:tc>
        <w:tc>
          <w:tcPr>
            <w:tcW w:type="dxa" w:w="3213"/>
          </w:tcPr>
          <w:p>
            <w:r/>
            <w:r>
              <w:rPr>
                <w:rFonts w:ascii="Times New Roman" w:hAnsi="Times New Roman" w:eastAsia="Times New Roman"/>
                <w:b w:val="0"/>
                <w:i w:val="0"/>
                <w:sz w:val="16"/>
              </w:rPr>
              <w:t>Current code version</w:t>
            </w:r>
          </w:p>
        </w:tc>
        <w:tc>
          <w:tcPr>
            <w:tcW w:type="dxa" w:w="3213"/>
          </w:tcPr>
          <w:p>
            <w:r/>
            <w:r>
              <w:rPr>
                <w:rFonts w:ascii="Times New Roman" w:hAnsi="Times New Roman" w:eastAsia="Times New Roman"/>
                <w:b w:val="0"/>
                <w:i w:val="0"/>
                <w:sz w:val="16"/>
              </w:rPr>
              <w:t>[e.g. v1.0.0]</w:t>
            </w:r>
          </w:p>
        </w:tc>
      </w:tr>
      <w:tr>
        <w:tc>
          <w:tcPr>
            <w:tcW w:type="dxa" w:w="3213"/>
          </w:tcPr>
          <w:p>
            <w:r/>
            <w:r>
              <w:rPr>
                <w:rFonts w:ascii="Times New Roman" w:hAnsi="Times New Roman" w:eastAsia="Times New Roman"/>
                <w:b w:val="0"/>
                <w:i w:val="0"/>
                <w:sz w:val="16"/>
              </w:rPr>
              <w:t>C2</w:t>
            </w:r>
          </w:p>
        </w:tc>
        <w:tc>
          <w:tcPr>
            <w:tcW w:type="dxa" w:w="3213"/>
          </w:tcPr>
          <w:p>
            <w:r/>
            <w:r>
              <w:rPr>
                <w:rFonts w:ascii="Times New Roman" w:hAnsi="Times New Roman" w:eastAsia="Times New Roman"/>
                <w:b w:val="0"/>
                <w:i w:val="0"/>
                <w:sz w:val="16"/>
              </w:rPr>
              <w:t>Permanent link to code/repository</w:t>
            </w:r>
          </w:p>
        </w:tc>
        <w:tc>
          <w:tcPr>
            <w:tcW w:type="dxa" w:w="3213"/>
          </w:tcPr>
          <w:p>
            <w:r/>
            <w:r>
              <w:rPr>
                <w:rFonts w:ascii="Times New Roman" w:hAnsi="Times New Roman" w:eastAsia="Times New Roman"/>
                <w:b w:val="0"/>
                <w:i w:val="0"/>
                <w:sz w:val="16"/>
              </w:rPr>
              <w:t>https://github.com/m46d45/Parade-Tim-Kerja</w:t>
            </w:r>
          </w:p>
        </w:tc>
      </w:tr>
      <w:tr>
        <w:tc>
          <w:tcPr>
            <w:tcW w:type="dxa" w:w="3213"/>
          </w:tcPr>
          <w:p>
            <w:r/>
            <w:r>
              <w:rPr>
                <w:rFonts w:ascii="Times New Roman" w:hAnsi="Times New Roman" w:eastAsia="Times New Roman"/>
                <w:b w:val="0"/>
                <w:i w:val="0"/>
                <w:sz w:val="16"/>
              </w:rPr>
              <w:t>C3</w:t>
            </w:r>
          </w:p>
        </w:tc>
        <w:tc>
          <w:tcPr>
            <w:tcW w:type="dxa" w:w="3213"/>
          </w:tcPr>
          <w:p>
            <w:r/>
            <w:r>
              <w:rPr>
                <w:rFonts w:ascii="Times New Roman" w:hAnsi="Times New Roman" w:eastAsia="Times New Roman"/>
                <w:b w:val="0"/>
                <w:i w:val="0"/>
                <w:sz w:val="16"/>
              </w:rPr>
              <w:t>Reproducible Capsule (CodeOcean, optional)</w:t>
            </w:r>
          </w:p>
        </w:tc>
        <w:tc>
          <w:tcPr>
            <w:tcW w:type="dxa" w:w="3213"/>
          </w:tcPr>
          <w:p>
            <w:r/>
            <w:r>
              <w:rPr>
                <w:rFonts w:ascii="Times New Roman" w:hAnsi="Times New Roman" w:eastAsia="Times New Roman"/>
                <w:b w:val="0"/>
                <w:i w:val="0"/>
                <w:sz w:val="16"/>
              </w:rPr>
              <w:t>[URL or N/A]</w:t>
            </w:r>
          </w:p>
        </w:tc>
      </w:tr>
      <w:tr>
        <w:tc>
          <w:tcPr>
            <w:tcW w:type="dxa" w:w="3213"/>
          </w:tcPr>
          <w:p>
            <w:r/>
            <w:r>
              <w:rPr>
                <w:rFonts w:ascii="Times New Roman" w:hAnsi="Times New Roman" w:eastAsia="Times New Roman"/>
                <w:b w:val="0"/>
                <w:i w:val="0"/>
                <w:sz w:val="16"/>
              </w:rPr>
              <w:t>C4</w:t>
            </w:r>
          </w:p>
        </w:tc>
        <w:tc>
          <w:tcPr>
            <w:tcW w:type="dxa" w:w="3213"/>
          </w:tcPr>
          <w:p>
            <w:r/>
            <w:r>
              <w:rPr>
                <w:rFonts w:ascii="Times New Roman" w:hAnsi="Times New Roman" w:eastAsia="Times New Roman"/>
                <w:b w:val="0"/>
                <w:i w:val="0"/>
                <w:sz w:val="16"/>
              </w:rPr>
              <w:t>Legal code licence (OSI-approved)</w:t>
            </w:r>
          </w:p>
        </w:tc>
        <w:tc>
          <w:tcPr>
            <w:tcW w:type="dxa" w:w="3213"/>
          </w:tcPr>
          <w:p>
            <w:r/>
            <w:r>
              <w:rPr>
                <w:rFonts w:ascii="Times New Roman" w:hAnsi="Times New Roman" w:eastAsia="Times New Roman"/>
                <w:b w:val="0"/>
                <w:i w:val="0"/>
                <w:sz w:val="16"/>
              </w:rPr>
              <w:t>[e.g. MIT]</w:t>
            </w:r>
          </w:p>
        </w:tc>
      </w:tr>
      <w:tr>
        <w:tc>
          <w:tcPr>
            <w:tcW w:type="dxa" w:w="3213"/>
          </w:tcPr>
          <w:p>
            <w:r/>
            <w:r>
              <w:rPr>
                <w:rFonts w:ascii="Times New Roman" w:hAnsi="Times New Roman" w:eastAsia="Times New Roman"/>
                <w:b w:val="0"/>
                <w:i w:val="0"/>
                <w:sz w:val="16"/>
              </w:rPr>
              <w:t>C5</w:t>
            </w:r>
          </w:p>
        </w:tc>
        <w:tc>
          <w:tcPr>
            <w:tcW w:type="dxa" w:w="3213"/>
          </w:tcPr>
          <w:p>
            <w:r/>
            <w:r>
              <w:rPr>
                <w:rFonts w:ascii="Times New Roman" w:hAnsi="Times New Roman" w:eastAsia="Times New Roman"/>
                <w:b w:val="0"/>
                <w:i w:val="0"/>
                <w:sz w:val="16"/>
              </w:rPr>
              <w:t>Code versioning system used</w:t>
            </w:r>
          </w:p>
        </w:tc>
        <w:tc>
          <w:tcPr>
            <w:tcW w:type="dxa" w:w="3213"/>
          </w:tcPr>
          <w:p>
            <w:r/>
            <w:r>
              <w:rPr>
                <w:rFonts w:ascii="Times New Roman" w:hAnsi="Times New Roman" w:eastAsia="Times New Roman"/>
                <w:b w:val="0"/>
                <w:i w:val="0"/>
                <w:sz w:val="16"/>
              </w:rPr>
              <w:t>git</w:t>
            </w:r>
          </w:p>
        </w:tc>
      </w:tr>
      <w:tr>
        <w:tc>
          <w:tcPr>
            <w:tcW w:type="dxa" w:w="3213"/>
          </w:tcPr>
          <w:p>
            <w:r/>
            <w:r>
              <w:rPr>
                <w:rFonts w:ascii="Times New Roman" w:hAnsi="Times New Roman" w:eastAsia="Times New Roman"/>
                <w:b w:val="0"/>
                <w:i w:val="0"/>
                <w:sz w:val="16"/>
              </w:rPr>
              <w:t>C6</w:t>
            </w:r>
          </w:p>
        </w:tc>
        <w:tc>
          <w:tcPr>
            <w:tcW w:type="dxa" w:w="3213"/>
          </w:tcPr>
          <w:p>
            <w:r/>
            <w:r>
              <w:rPr>
                <w:rFonts w:ascii="Times New Roman" w:hAnsi="Times New Roman" w:eastAsia="Times New Roman"/>
                <w:b w:val="0"/>
                <w:i w:val="0"/>
                <w:sz w:val="16"/>
              </w:rPr>
              <w:t>Languages, tools, services</w:t>
            </w:r>
          </w:p>
        </w:tc>
        <w:tc>
          <w:tcPr>
            <w:tcW w:type="dxa" w:w="3213"/>
          </w:tcPr>
          <w:p>
            <w:r/>
            <w:r>
              <w:rPr>
                <w:rFonts w:ascii="Times New Roman" w:hAnsi="Times New Roman" w:eastAsia="Times New Roman"/>
                <w:b w:val="0"/>
                <w:i w:val="0"/>
                <w:sz w:val="16"/>
              </w:rPr>
              <w:t>Python 3, Streamlit, matplotlib, NumPy, openpyxl</w:t>
            </w:r>
          </w:p>
        </w:tc>
      </w:tr>
      <w:tr>
        <w:tc>
          <w:tcPr>
            <w:tcW w:type="dxa" w:w="3213"/>
          </w:tcPr>
          <w:p>
            <w:r/>
            <w:r>
              <w:rPr>
                <w:rFonts w:ascii="Times New Roman" w:hAnsi="Times New Roman" w:eastAsia="Times New Roman"/>
                <w:b w:val="0"/>
                <w:i w:val="0"/>
                <w:sz w:val="16"/>
              </w:rPr>
              <w:t>C7</w:t>
            </w:r>
          </w:p>
        </w:tc>
        <w:tc>
          <w:tcPr>
            <w:tcW w:type="dxa" w:w="3213"/>
          </w:tcPr>
          <w:p>
            <w:r/>
            <w:r>
              <w:rPr>
                <w:rFonts w:ascii="Times New Roman" w:hAnsi="Times New Roman" w:eastAsia="Times New Roman"/>
                <w:b w:val="0"/>
                <w:i w:val="0"/>
                <w:sz w:val="16"/>
              </w:rPr>
              <w:t>Requirements / environments</w:t>
            </w:r>
          </w:p>
        </w:tc>
        <w:tc>
          <w:tcPr>
            <w:tcW w:type="dxa" w:w="3213"/>
          </w:tcPr>
          <w:p>
            <w:r/>
            <w:r>
              <w:rPr>
                <w:rFonts w:ascii="Times New Roman" w:hAnsi="Times New Roman" w:eastAsia="Times New Roman"/>
                <w:b w:val="0"/>
                <w:i w:val="0"/>
                <w:sz w:val="16"/>
              </w:rPr>
              <w:t>Python ≥3.10; requirements.txt; or Streamlit Cloud</w:t>
            </w:r>
          </w:p>
        </w:tc>
      </w:tr>
      <w:tr>
        <w:tc>
          <w:tcPr>
            <w:tcW w:type="dxa" w:w="3213"/>
          </w:tcPr>
          <w:p>
            <w:r/>
            <w:r>
              <w:rPr>
                <w:rFonts w:ascii="Times New Roman" w:hAnsi="Times New Roman" w:eastAsia="Times New Roman"/>
                <w:b w:val="0"/>
                <w:i w:val="0"/>
                <w:sz w:val="16"/>
              </w:rPr>
              <w:t>C8</w:t>
            </w:r>
          </w:p>
        </w:tc>
        <w:tc>
          <w:tcPr>
            <w:tcW w:type="dxa" w:w="3213"/>
          </w:tcPr>
          <w:p>
            <w:r/>
            <w:r>
              <w:rPr>
                <w:rFonts w:ascii="Times New Roman" w:hAnsi="Times New Roman" w:eastAsia="Times New Roman"/>
                <w:b w:val="0"/>
                <w:i w:val="0"/>
                <w:sz w:val="16"/>
              </w:rPr>
              <w:t>Documentation / manual</w:t>
            </w:r>
          </w:p>
        </w:tc>
        <w:tc>
          <w:tcPr>
            <w:tcW w:type="dxa" w:w="3213"/>
          </w:tcPr>
          <w:p>
            <w:r/>
            <w:r>
              <w:rPr>
                <w:rFonts w:ascii="Times New Roman" w:hAnsi="Times New Roman" w:eastAsia="Times New Roman"/>
                <w:b w:val="0"/>
                <w:i w:val="0"/>
                <w:sz w:val="16"/>
              </w:rPr>
              <w:t>MANUAL.md; in-app Manual tab</w:t>
            </w:r>
          </w:p>
        </w:tc>
      </w:tr>
      <w:tr>
        <w:tc>
          <w:tcPr>
            <w:tcW w:type="dxa" w:w="3213"/>
          </w:tcPr>
          <w:p>
            <w:r/>
            <w:r>
              <w:rPr>
                <w:rFonts w:ascii="Times New Roman" w:hAnsi="Times New Roman" w:eastAsia="Times New Roman"/>
                <w:b w:val="0"/>
                <w:i w:val="0"/>
                <w:sz w:val="16"/>
              </w:rPr>
              <w:t>C9</w:t>
            </w:r>
          </w:p>
        </w:tc>
        <w:tc>
          <w:tcPr>
            <w:tcW w:type="dxa" w:w="3213"/>
          </w:tcPr>
          <w:p>
            <w:r/>
            <w:r>
              <w:rPr>
                <w:rFonts w:ascii="Times New Roman" w:hAnsi="Times New Roman" w:eastAsia="Times New Roman"/>
                <w:b w:val="0"/>
                <w:i w:val="0"/>
                <w:sz w:val="16"/>
              </w:rPr>
              <w:t>Support email</w:t>
            </w:r>
          </w:p>
        </w:tc>
        <w:tc>
          <w:tcPr>
            <w:tcW w:type="dxa" w:w="3213"/>
          </w:tcPr>
          <w:p>
            <w:r/>
            <w:r>
              <w:rPr>
                <w:rFonts w:ascii="Times New Roman" w:hAnsi="Times New Roman" w:eastAsia="Times New Roman"/>
                <w:b w:val="0"/>
                <w:i w:val="0"/>
                <w:sz w:val="16"/>
              </w:rPr>
              <w:t>[corresponding author email]</w:t>
            </w:r>
          </w:p>
        </w:tc>
      </w:tr>
    </w:tbl>
    <w:p/>
    <w:p>
      <w:pPr>
        <w:spacing w:before="240" w:after="120"/>
      </w:pPr>
      <w:r>
        <w:rPr>
          <w:rFonts w:ascii="Times New Roman" w:hAnsi="Times New Roman" w:eastAsia="Times New Roman"/>
          <w:b/>
          <w:i w:val="0"/>
          <w:sz w:val="24"/>
        </w:rPr>
        <w:t>1. Motivation and significance</w:t>
      </w:r>
    </w:p>
    <w:p>
      <w:pPr>
        <w:spacing w:after="120" w:before="0" w:line="276" w:lineRule="auto"/>
        <w:ind w:firstLine="425"/>
      </w:pPr>
      <w:r>
        <w:rPr>
          <w:rFonts w:ascii="Times New Roman" w:hAnsi="Times New Roman" w:eastAsia="Times New Roman"/>
          <w:b w:val="0"/>
          <w:i w:val="0"/>
          <w:sz w:val="22"/>
        </w:rPr>
        <w:t>Construction production systems are chains of specialised trades that hand work to one another across space and time. When upstream production is variable or handoffs are batched, downstream crews starve or wait, project duration grows, work-in-process (WIP) accumulates, and labour spends non-productive time on site. These mechanisms are central to Lean Construction and project production management, yet they remain difficult to experience in a lecture.</w:t>
      </w:r>
    </w:p>
    <w:p>
      <w:pPr>
        <w:spacing w:after="120" w:before="0" w:line="276" w:lineRule="auto"/>
        <w:ind w:firstLine="425"/>
      </w:pPr>
      <w:r>
        <w:rPr>
          <w:rFonts w:ascii="Times New Roman" w:hAnsi="Times New Roman" w:eastAsia="Times New Roman"/>
          <w:b w:val="0"/>
          <w:i w:val="0"/>
          <w:sz w:val="22"/>
        </w:rPr>
        <w:t>The classic parade of trades / Parade Game pedagogy of Tommelein and colleagues [1] established that work-flow variability and sequential dependence between trades degrade system performance even when average productivities appear acceptable. That pedagogy was embodied as a physical dice game and as a computer-based Parade of Trades implementation in Visual Basic, documented by Choo and Tommelein [10], with related discrete-event studies reported alongside the game literature [1]. The original software remains a landmark teaching tool, but as a legacy desktop program it is harder to deploy in large browser-first classes, and its scope centres on the variability–dependence lesson rather than on integrated production metrics, labour idle cost, multi-scenario dashboards, or takt zoning.</w:t>
      </w:r>
    </w:p>
    <w:p>
      <w:pPr>
        <w:spacing w:before="160" w:after="120"/>
      </w:pPr>
      <w:r>
        <w:rPr>
          <w:rFonts w:ascii="Times New Roman" w:hAnsi="Times New Roman" w:eastAsia="Times New Roman"/>
          <w:b/>
          <w:i w:val="0"/>
          <w:sz w:val="22"/>
        </w:rPr>
        <w:t>1.1. Development lineage</w:t>
      </w:r>
    </w:p>
    <w:p>
      <w:pPr>
        <w:spacing w:after="120" w:before="0" w:line="276" w:lineRule="auto"/>
        <w:ind w:firstLine="425"/>
      </w:pPr>
      <w:r>
        <w:rPr>
          <w:rFonts w:ascii="Times New Roman" w:hAnsi="Times New Roman" w:eastAsia="Times New Roman"/>
          <w:b w:val="0"/>
          <w:i w:val="0"/>
          <w:sz w:val="22"/>
        </w:rPr>
        <w:t>Parade Tim Kerja is explicitly developed from Tommelein’s Parade of Trades (Parade Game) foundation [1,10]. It reuses the scientific core of a sequential trade parade under variability and dependence, framed here as a five-trade concrete floor cycle in zone-flow form. The intent is continuity with the Berkeley parade pedagogy, not a disconnected rewrite: learners still confront how local variability propagates along a chain of trades.</w:t>
      </w:r>
    </w:p>
    <w:p>
      <w:pPr>
        <w:spacing w:before="160" w:after="120"/>
      </w:pPr>
      <w:r>
        <w:rPr>
          <w:rFonts w:ascii="Times New Roman" w:hAnsi="Times New Roman" w:eastAsia="Times New Roman"/>
          <w:b/>
          <w:i w:val="0"/>
          <w:sz w:val="22"/>
        </w:rPr>
        <w:t>1.2. Differentiation and strengths relative to the original Parade of Trades software</w:t>
      </w:r>
    </w:p>
    <w:p>
      <w:pPr>
        <w:spacing w:after="80" w:before="0" w:line="276" w:lineRule="auto"/>
        <w:ind w:firstLine="425"/>
      </w:pPr>
      <w:r>
        <w:rPr>
          <w:rFonts w:ascii="Times New Roman" w:hAnsi="Times New Roman" w:eastAsia="Times New Roman"/>
          <w:b w:val="0"/>
          <w:i w:val="0"/>
          <w:sz w:val="22"/>
        </w:rPr>
        <w:t>Table 2 contrasts the original Parade of Trades game/computer software with Parade Tim Kerja and summarises the strengths of the present tool.</w:t>
      </w:r>
    </w:p>
    <w:p>
      <w:pPr>
        <w:spacing w:after="80" w:before="0" w:line="276" w:lineRule="auto"/>
      </w:pPr>
      <w:r>
        <w:rPr>
          <w:rFonts w:ascii="Times New Roman" w:hAnsi="Times New Roman" w:eastAsia="Times New Roman"/>
          <w:b w:val="0"/>
          <w:i/>
          <w:sz w:val="18"/>
        </w:rPr>
        <w:t>Table 2. Parade Tim Kerja versus Tommelein Parade of Trades software/game.</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rFonts w:ascii="Times New Roman" w:hAnsi="Times New Roman" w:eastAsia="Times New Roman"/>
                <w:b/>
                <w:i w:val="0"/>
                <w:sz w:val="16"/>
              </w:rPr>
              <w:t>Dimension</w:t>
            </w:r>
          </w:p>
        </w:tc>
        <w:tc>
          <w:tcPr>
            <w:tcW w:type="dxa" w:w="3213"/>
          </w:tcPr>
          <w:p>
            <w:r/>
            <w:r>
              <w:rPr>
                <w:rFonts w:ascii="Times New Roman" w:hAnsi="Times New Roman" w:eastAsia="Times New Roman"/>
                <w:b/>
                <w:i w:val="0"/>
                <w:sz w:val="16"/>
              </w:rPr>
              <w:t>Tommelein Parade of Trades (game / VB) [1,10]</w:t>
            </w:r>
          </w:p>
        </w:tc>
        <w:tc>
          <w:tcPr>
            <w:tcW w:type="dxa" w:w="3213"/>
          </w:tcPr>
          <w:p>
            <w:r/>
            <w:r>
              <w:rPr>
                <w:rFonts w:ascii="Times New Roman" w:hAnsi="Times New Roman" w:eastAsia="Times New Roman"/>
                <w:b/>
                <w:i w:val="0"/>
                <w:sz w:val="16"/>
              </w:rPr>
              <w:t>Parade Tim Kerja (this software)</w:t>
            </w:r>
          </w:p>
        </w:tc>
      </w:tr>
      <w:tr>
        <w:tc>
          <w:tcPr>
            <w:tcW w:type="dxa" w:w="3213"/>
          </w:tcPr>
          <w:p>
            <w:r/>
            <w:r>
              <w:rPr>
                <w:rFonts w:ascii="Times New Roman" w:hAnsi="Times New Roman" w:eastAsia="Times New Roman"/>
                <w:b w:val="0"/>
                <w:i w:val="0"/>
                <w:sz w:val="16"/>
              </w:rPr>
              <w:t>Core purpose</w:t>
            </w:r>
          </w:p>
        </w:tc>
        <w:tc>
          <w:tcPr>
            <w:tcW w:type="dxa" w:w="3213"/>
          </w:tcPr>
          <w:p>
            <w:r/>
            <w:r>
              <w:rPr>
                <w:rFonts w:ascii="Times New Roman" w:hAnsi="Times New Roman" w:eastAsia="Times New Roman"/>
                <w:b w:val="0"/>
                <w:i w:val="0"/>
                <w:sz w:val="16"/>
              </w:rPr>
              <w:t>Demonstrate impact of work-flow variability &amp; dependence</w:t>
            </w:r>
          </w:p>
        </w:tc>
        <w:tc>
          <w:tcPr>
            <w:tcW w:type="dxa" w:w="3213"/>
          </w:tcPr>
          <w:p>
            <w:r/>
            <w:r>
              <w:rPr>
                <w:rFonts w:ascii="Times New Roman" w:hAnsi="Times New Roman" w:eastAsia="Times New Roman"/>
                <w:b w:val="0"/>
                <w:i w:val="0"/>
                <w:sz w:val="16"/>
              </w:rPr>
              <w:t>Same foundation plus production metrics, cost, multi-scenario comparison, takt planning</w:t>
            </w:r>
          </w:p>
        </w:tc>
      </w:tr>
      <w:tr>
        <w:tc>
          <w:tcPr>
            <w:tcW w:type="dxa" w:w="3213"/>
          </w:tcPr>
          <w:p>
            <w:r/>
            <w:r>
              <w:rPr>
                <w:rFonts w:ascii="Times New Roman" w:hAnsi="Times New Roman" w:eastAsia="Times New Roman"/>
                <w:b w:val="0"/>
                <w:i w:val="0"/>
                <w:sz w:val="16"/>
              </w:rPr>
              <w:t>Access / platform</w:t>
            </w:r>
          </w:p>
        </w:tc>
        <w:tc>
          <w:tcPr>
            <w:tcW w:type="dxa" w:w="3213"/>
          </w:tcPr>
          <w:p>
            <w:r/>
            <w:r>
              <w:rPr>
                <w:rFonts w:ascii="Times New Roman" w:hAnsi="Times New Roman" w:eastAsia="Times New Roman"/>
                <w:b w:val="0"/>
                <w:i w:val="0"/>
                <w:sz w:val="16"/>
              </w:rPr>
              <w:t>Physical dice game; legacy Visual Basic desktop app</w:t>
            </w:r>
          </w:p>
        </w:tc>
        <w:tc>
          <w:tcPr>
            <w:tcW w:type="dxa" w:w="3213"/>
          </w:tcPr>
          <w:p>
            <w:r/>
            <w:r>
              <w:rPr>
                <w:rFonts w:ascii="Times New Roman" w:hAnsi="Times New Roman" w:eastAsia="Times New Roman"/>
                <w:b w:val="0"/>
                <w:i w:val="0"/>
                <w:sz w:val="16"/>
              </w:rPr>
              <w:t>Open-source Python; browser (Streamlit); no learner-side install</w:t>
            </w:r>
          </w:p>
        </w:tc>
      </w:tr>
      <w:tr>
        <w:tc>
          <w:tcPr>
            <w:tcW w:type="dxa" w:w="3213"/>
          </w:tcPr>
          <w:p>
            <w:r/>
            <w:r>
              <w:rPr>
                <w:rFonts w:ascii="Times New Roman" w:hAnsi="Times New Roman" w:eastAsia="Times New Roman"/>
                <w:b w:val="0"/>
                <w:i w:val="0"/>
                <w:sz w:val="16"/>
              </w:rPr>
              <w:t>Spatial model</w:t>
            </w:r>
          </w:p>
        </w:tc>
        <w:tc>
          <w:tcPr>
            <w:tcW w:type="dxa" w:w="3213"/>
          </w:tcPr>
          <w:p>
            <w:r/>
            <w:r>
              <w:rPr>
                <w:rFonts w:ascii="Times New Roman" w:hAnsi="Times New Roman" w:eastAsia="Times New Roman"/>
                <w:b w:val="0"/>
                <w:i w:val="0"/>
                <w:sz w:val="16"/>
              </w:rPr>
              <w:t>Parade / production steps in the game tradition</w:t>
            </w:r>
          </w:p>
        </w:tc>
        <w:tc>
          <w:tcPr>
            <w:tcW w:type="dxa" w:w="3213"/>
          </w:tcPr>
          <w:p>
            <w:r/>
            <w:r>
              <w:rPr>
                <w:rFonts w:ascii="Times New Roman" w:hAnsi="Times New Roman" w:eastAsia="Times New Roman"/>
                <w:b w:val="0"/>
                <w:i w:val="0"/>
                <w:sz w:val="16"/>
              </w:rPr>
              <w:t>Explicit zone-flow floor cycle (5 trades × zones) with batch handoff (incl. one-piece flow)</w:t>
            </w:r>
          </w:p>
        </w:tc>
      </w:tr>
      <w:tr>
        <w:tc>
          <w:tcPr>
            <w:tcW w:type="dxa" w:w="3213"/>
          </w:tcPr>
          <w:p>
            <w:r/>
            <w:r>
              <w:rPr>
                <w:rFonts w:ascii="Times New Roman" w:hAnsi="Times New Roman" w:eastAsia="Times New Roman"/>
                <w:b w:val="0"/>
                <w:i w:val="0"/>
                <w:sz w:val="16"/>
              </w:rPr>
              <w:t>Variability control</w:t>
            </w:r>
          </w:p>
        </w:tc>
        <w:tc>
          <w:tcPr>
            <w:tcW w:type="dxa" w:w="3213"/>
          </w:tcPr>
          <w:p>
            <w:r/>
            <w:r>
              <w:rPr>
                <w:rFonts w:ascii="Times New Roman" w:hAnsi="Times New Roman" w:eastAsia="Times New Roman"/>
                <w:b w:val="0"/>
                <w:i w:val="0"/>
                <w:sz w:val="16"/>
              </w:rPr>
              <w:t>Dice / scenario-based teaching design</w:t>
            </w:r>
          </w:p>
        </w:tc>
        <w:tc>
          <w:tcPr>
            <w:tcW w:type="dxa" w:w="3213"/>
          </w:tcPr>
          <w:p>
            <w:r/>
            <w:r>
              <w:rPr>
                <w:rFonts w:ascii="Times New Roman" w:hAnsi="Times New Roman" w:eastAsia="Times New Roman"/>
                <w:b w:val="0"/>
                <w:i w:val="0"/>
                <w:sz w:val="16"/>
              </w:rPr>
              <w:t>Seedable per-zone variability levels; reproducible classroom runs</w:t>
            </w:r>
          </w:p>
        </w:tc>
      </w:tr>
      <w:tr>
        <w:tc>
          <w:tcPr>
            <w:tcW w:type="dxa" w:w="3213"/>
          </w:tcPr>
          <w:p>
            <w:r/>
            <w:r>
              <w:rPr>
                <w:rFonts w:ascii="Times New Roman" w:hAnsi="Times New Roman" w:eastAsia="Times New Roman"/>
                <w:b w:val="0"/>
                <w:i w:val="0"/>
                <w:sz w:val="16"/>
              </w:rPr>
              <w:t>Visual analytics</w:t>
            </w:r>
          </w:p>
        </w:tc>
        <w:tc>
          <w:tcPr>
            <w:tcW w:type="dxa" w:w="3213"/>
          </w:tcPr>
          <w:p>
            <w:r/>
            <w:r>
              <w:rPr>
                <w:rFonts w:ascii="Times New Roman" w:hAnsi="Times New Roman" w:eastAsia="Times New Roman"/>
                <w:b w:val="0"/>
                <w:i w:val="0"/>
                <w:sz w:val="16"/>
              </w:rPr>
              <w:t>Game outcomes / classic result plots</w:t>
            </w:r>
          </w:p>
        </w:tc>
        <w:tc>
          <w:tcPr>
            <w:tcW w:type="dxa" w:w="3213"/>
          </w:tcPr>
          <w:p>
            <w:r/>
            <w:r>
              <w:rPr>
                <w:rFonts w:ascii="Times New Roman" w:hAnsi="Times New Roman" w:eastAsia="Times New Roman"/>
                <w:b w:val="0"/>
                <w:i w:val="0"/>
                <w:sz w:val="16"/>
              </w:rPr>
              <w:t>Line of Balance, buffer WIP, utilisation, multi-scenario overlays</w:t>
            </w:r>
          </w:p>
        </w:tc>
      </w:tr>
      <w:tr>
        <w:tc>
          <w:tcPr>
            <w:tcW w:type="dxa" w:w="3213"/>
          </w:tcPr>
          <w:p>
            <w:r/>
            <w:r>
              <w:rPr>
                <w:rFonts w:ascii="Times New Roman" w:hAnsi="Times New Roman" w:eastAsia="Times New Roman"/>
                <w:b w:val="0"/>
                <w:i w:val="0"/>
                <w:sz w:val="16"/>
              </w:rPr>
              <w:t>Labour cost</w:t>
            </w:r>
          </w:p>
        </w:tc>
        <w:tc>
          <w:tcPr>
            <w:tcW w:type="dxa" w:w="3213"/>
          </w:tcPr>
          <w:p>
            <w:r/>
            <w:r>
              <w:rPr>
                <w:rFonts w:ascii="Times New Roman" w:hAnsi="Times New Roman" w:eastAsia="Times New Roman"/>
                <w:b w:val="0"/>
                <w:i w:val="0"/>
                <w:sz w:val="16"/>
              </w:rPr>
              <w:t>Not the focus of the original teaching software</w:t>
            </w:r>
          </w:p>
        </w:tc>
        <w:tc>
          <w:tcPr>
            <w:tcW w:type="dxa" w:w="3213"/>
          </w:tcPr>
          <w:p>
            <w:r/>
            <w:r>
              <w:rPr>
                <w:rFonts w:ascii="Times New Roman" w:hAnsi="Times New Roman" w:eastAsia="Times New Roman"/>
                <w:b w:val="0"/>
                <w:i w:val="0"/>
                <w:sz w:val="16"/>
              </w:rPr>
              <w:t>Active vs idle labour cost per trade and project totals</w:t>
            </w:r>
          </w:p>
        </w:tc>
      </w:tr>
      <w:tr>
        <w:tc>
          <w:tcPr>
            <w:tcW w:type="dxa" w:w="3213"/>
          </w:tcPr>
          <w:p>
            <w:r/>
            <w:r>
              <w:rPr>
                <w:rFonts w:ascii="Times New Roman" w:hAnsi="Times New Roman" w:eastAsia="Times New Roman"/>
                <w:b w:val="0"/>
                <w:i w:val="0"/>
                <w:sz w:val="16"/>
              </w:rPr>
              <w:t>Theory bridge</w:t>
            </w:r>
          </w:p>
        </w:tc>
        <w:tc>
          <w:tcPr>
            <w:tcW w:type="dxa" w:w="3213"/>
          </w:tcPr>
          <w:p>
            <w:r/>
            <w:r>
              <w:rPr>
                <w:rFonts w:ascii="Times New Roman" w:hAnsi="Times New Roman" w:eastAsia="Times New Roman"/>
                <w:b w:val="0"/>
                <w:i w:val="0"/>
                <w:sz w:val="16"/>
              </w:rPr>
              <w:t>Primarily variability &amp; dependence insight</w:t>
            </w:r>
          </w:p>
        </w:tc>
        <w:tc>
          <w:tcPr>
            <w:tcW w:type="dxa" w:w="3213"/>
          </w:tcPr>
          <w:p>
            <w:r/>
            <w:r>
              <w:rPr>
                <w:rFonts w:ascii="Times New Roman" w:hAnsi="Times New Roman" w:eastAsia="Times New Roman"/>
                <w:b w:val="0"/>
                <w:i w:val="0"/>
                <w:sz w:val="16"/>
              </w:rPr>
              <w:t>Little’s Law, Kingman/VUT intuition, inventory–fill-rate charts</w:t>
            </w:r>
          </w:p>
        </w:tc>
      </w:tr>
      <w:tr>
        <w:tc>
          <w:tcPr>
            <w:tcW w:type="dxa" w:w="3213"/>
          </w:tcPr>
          <w:p>
            <w:r/>
            <w:r>
              <w:rPr>
                <w:rFonts w:ascii="Times New Roman" w:hAnsi="Times New Roman" w:eastAsia="Times New Roman"/>
                <w:b w:val="0"/>
                <w:i w:val="0"/>
                <w:sz w:val="16"/>
              </w:rPr>
              <w:t>Takt / zoning</w:t>
            </w:r>
          </w:p>
        </w:tc>
        <w:tc>
          <w:tcPr>
            <w:tcW w:type="dxa" w:w="3213"/>
          </w:tcPr>
          <w:p>
            <w:r/>
            <w:r>
              <w:rPr>
                <w:rFonts w:ascii="Times New Roman" w:hAnsi="Times New Roman" w:eastAsia="Times New Roman"/>
                <w:b w:val="0"/>
                <w:i w:val="0"/>
                <w:sz w:val="16"/>
              </w:rPr>
              <w:t>Outside the original Parade software scope</w:t>
            </w:r>
          </w:p>
        </w:tc>
        <w:tc>
          <w:tcPr>
            <w:tcW w:type="dxa" w:w="3213"/>
          </w:tcPr>
          <w:p>
            <w:r/>
            <w:r>
              <w:rPr>
                <w:rFonts w:ascii="Times New Roman" w:hAnsi="Times New Roman" w:eastAsia="Times New Roman"/>
                <w:b w:val="0"/>
                <w:i w:val="0"/>
                <w:sz w:val="16"/>
              </w:rPr>
              <w:t>Takt module: bays ≠ zones, discrete TZ, owner time per floor, wagon chart</w:t>
            </w:r>
          </w:p>
        </w:tc>
      </w:tr>
      <w:tr>
        <w:tc>
          <w:tcPr>
            <w:tcW w:type="dxa" w:w="3213"/>
          </w:tcPr>
          <w:p>
            <w:r/>
            <w:r>
              <w:rPr>
                <w:rFonts w:ascii="Times New Roman" w:hAnsi="Times New Roman" w:eastAsia="Times New Roman"/>
                <w:b w:val="0"/>
                <w:i w:val="0"/>
                <w:sz w:val="16"/>
              </w:rPr>
              <w:t>Comparison</w:t>
            </w:r>
          </w:p>
        </w:tc>
        <w:tc>
          <w:tcPr>
            <w:tcW w:type="dxa" w:w="3213"/>
          </w:tcPr>
          <w:p>
            <w:r/>
            <w:r>
              <w:rPr>
                <w:rFonts w:ascii="Times New Roman" w:hAnsi="Times New Roman" w:eastAsia="Times New Roman"/>
                <w:b w:val="0"/>
                <w:i w:val="0"/>
                <w:sz w:val="16"/>
              </w:rPr>
              <w:t>Often one run / group experience</w:t>
            </w:r>
          </w:p>
        </w:tc>
        <w:tc>
          <w:tcPr>
            <w:tcW w:type="dxa" w:w="3213"/>
          </w:tcPr>
          <w:p>
            <w:r/>
            <w:r>
              <w:rPr>
                <w:rFonts w:ascii="Times New Roman" w:hAnsi="Times New Roman" w:eastAsia="Times New Roman"/>
                <w:b w:val="0"/>
                <w:i w:val="0"/>
                <w:sz w:val="16"/>
              </w:rPr>
              <w:t>Built-in 2–5 scenario comparison (e.g. 5× variability; batch 1 vs 4)</w:t>
            </w:r>
          </w:p>
        </w:tc>
      </w:tr>
      <w:tr>
        <w:tc>
          <w:tcPr>
            <w:tcW w:type="dxa" w:w="3213"/>
          </w:tcPr>
          <w:p>
            <w:r/>
            <w:r>
              <w:rPr>
                <w:rFonts w:ascii="Times New Roman" w:hAnsi="Times New Roman" w:eastAsia="Times New Roman"/>
                <w:b w:val="0"/>
                <w:i w:val="0"/>
                <w:sz w:val="16"/>
              </w:rPr>
              <w:t>Export &amp; teaching materials</w:t>
            </w:r>
          </w:p>
        </w:tc>
        <w:tc>
          <w:tcPr>
            <w:tcW w:type="dxa" w:w="3213"/>
          </w:tcPr>
          <w:p>
            <w:r/>
            <w:r>
              <w:rPr>
                <w:rFonts w:ascii="Times New Roman" w:hAnsi="Times New Roman" w:eastAsia="Times New Roman"/>
                <w:b w:val="0"/>
                <w:i w:val="0"/>
                <w:sz w:val="16"/>
              </w:rPr>
              <w:t>Game instructions / technical reports</w:t>
            </w:r>
          </w:p>
        </w:tc>
        <w:tc>
          <w:tcPr>
            <w:tcW w:type="dxa" w:w="3213"/>
          </w:tcPr>
          <w:p>
            <w:r/>
            <w:r>
              <w:rPr>
                <w:rFonts w:ascii="Times New Roman" w:hAnsi="Times New Roman" w:eastAsia="Times New Roman"/>
                <w:b w:val="0"/>
                <w:i w:val="0"/>
                <w:sz w:val="16"/>
              </w:rPr>
              <w:t>CSV/Excel export; Indonesian in-app teaching manual</w:t>
            </w:r>
          </w:p>
        </w:tc>
      </w:tr>
    </w:tbl>
    <w:p/>
    <w:p>
      <w:pPr>
        <w:spacing w:after="120" w:before="0" w:line="276" w:lineRule="auto"/>
        <w:ind w:firstLine="425"/>
      </w:pPr>
      <w:r>
        <w:rPr>
          <w:rFonts w:ascii="Times New Roman" w:hAnsi="Times New Roman" w:eastAsia="Times New Roman"/>
          <w:b w:val="0"/>
          <w:i w:val="0"/>
          <w:sz w:val="22"/>
        </w:rPr>
        <w:t>In short, the strength of Parade Tim Kerja is that it preserves Tommelein’s parade insight while adding open web delivery, zone-flow and batch controls, LOB/WIP/utilisation and idle-cost accounting, explicit Factory Physics-style bridges, educational takt planning, multi-scenario comparison, and classroom export. Factory Physics [2,3] and takt planning [4,5,9] motivate those extensions; the present software packages them with the parade lesson in one browser tool.</w:t>
      </w:r>
    </w:p>
    <w:p>
      <w:pPr>
        <w:spacing w:after="160" w:before="0" w:line="276" w:lineRule="auto"/>
        <w:ind w:firstLine="425"/>
      </w:pPr>
      <w:r>
        <w:rPr>
          <w:rFonts w:ascii="Times New Roman" w:hAnsi="Times New Roman" w:eastAsia="Times New Roman"/>
          <w:b w:val="0"/>
          <w:i w:val="0"/>
          <w:sz w:val="22"/>
        </w:rPr>
        <w:t>Parade Tim Kerja therefore provides: (1) an open zone-flow engine in the Tommelein parade tradition [1,10] for a five-trade floor cycle, with seedable variability and batch handoff; (2) classroom analytics (LOB, WIP, utilisation, active/idle cost, 2–5 scenario comparison, CSV/Excel export); (3) theory bridges (Little’s Law, Kingman-style VUT, inventory–fill rate); (4) a takt module with fixed floor geometry (360 m², 3×3 m bays → 40 bays), discrete TZ ∈ {1,5,10,20,40}, capacity in bays/day, and TD = (TW + TZ − 1) × te with TW = 5; and (5) zero-install Streamlit access plus an Indonesian teaching manual. Documented impact is summarised in Section 3 and should cite peer-reviewed outputs that used the tool [8].</w:t>
      </w:r>
    </w:p>
    <w:p>
      <w:pPr>
        <w:spacing w:before="240" w:after="120"/>
      </w:pPr>
      <w:r>
        <w:rPr>
          <w:rFonts w:ascii="Times New Roman" w:hAnsi="Times New Roman" w:eastAsia="Times New Roman"/>
          <w:b/>
          <w:i w:val="0"/>
          <w:sz w:val="24"/>
        </w:rPr>
        <w:t>2. Software description</w:t>
      </w:r>
    </w:p>
    <w:p>
      <w:pPr>
        <w:spacing w:before="160" w:after="120"/>
      </w:pPr>
      <w:r>
        <w:rPr>
          <w:rFonts w:ascii="Times New Roman" w:hAnsi="Times New Roman" w:eastAsia="Times New Roman"/>
          <w:b/>
          <w:i w:val="0"/>
          <w:sz w:val="22"/>
        </w:rPr>
        <w:t>2.1. Software architecture</w:t>
      </w:r>
    </w:p>
    <w:p>
      <w:pPr>
        <w:spacing w:after="80" w:before="0" w:line="276" w:lineRule="auto"/>
        <w:ind w:firstLine="425"/>
      </w:pPr>
      <w:r>
        <w:rPr>
          <w:rFonts w:ascii="Times New Roman" w:hAnsi="Times New Roman" w:eastAsia="Times New Roman"/>
          <w:b w:val="0"/>
          <w:i w:val="0"/>
          <w:sz w:val="22"/>
        </w:rPr>
        <w:t>Parade Tim Kerja is implemented in Python 3 with modular components (Table 3): a discrete zone-flow engine, analysis (cost, Little’s Law, Kingman-style metrics, takt plan, export), matplotlib plots, and a Streamlit UI. Dependencies are listed in requirements.txt. Default sidebar parameters (10 zones, seed 12345, batch 4, five trades) align the simulation tab with the default takt zone count for consistent classroom narratives.</w:t>
      </w:r>
    </w:p>
    <w:p>
      <w:pPr>
        <w:spacing w:after="80" w:before="0" w:line="276" w:lineRule="auto"/>
      </w:pPr>
      <w:r>
        <w:rPr>
          <w:rFonts w:ascii="Times New Roman" w:hAnsi="Times New Roman" w:eastAsia="Times New Roman"/>
          <w:b w:val="0"/>
          <w:i/>
          <w:sz w:val="18"/>
        </w:rPr>
        <w:t>Table 3. Main software components.</w:t>
      </w:r>
    </w:p>
    <w:tbl>
      <w:tblPr>
        <w:tblStyle w:val="TableGrid"/>
        <w:tblW w:type="auto" w:w="0"/>
        <w:tblLook w:firstColumn="1" w:firstRow="1" w:lastColumn="0" w:lastRow="0" w:noHBand="0" w:noVBand="1" w:val="04A0"/>
      </w:tblPr>
      <w:tblGrid>
        <w:gridCol w:w="4819"/>
        <w:gridCol w:w="4819"/>
      </w:tblGrid>
      <w:tr>
        <w:tc>
          <w:tcPr>
            <w:tcW w:type="dxa" w:w="4819"/>
          </w:tcPr>
          <w:p>
            <w:r/>
            <w:r>
              <w:rPr>
                <w:rFonts w:ascii="Times New Roman" w:hAnsi="Times New Roman" w:eastAsia="Times New Roman"/>
                <w:b/>
                <w:i w:val="0"/>
                <w:sz w:val="16"/>
              </w:rPr>
              <w:t>Component</w:t>
            </w:r>
          </w:p>
        </w:tc>
        <w:tc>
          <w:tcPr>
            <w:tcW w:type="dxa" w:w="4819"/>
          </w:tcPr>
          <w:p>
            <w:r/>
            <w:r>
              <w:rPr>
                <w:rFonts w:ascii="Times New Roman" w:hAnsi="Times New Roman" w:eastAsia="Times New Roman"/>
                <w:b/>
                <w:i w:val="0"/>
                <w:sz w:val="16"/>
              </w:rPr>
              <w:t>Role</w:t>
            </w:r>
          </w:p>
        </w:tc>
      </w:tr>
      <w:tr>
        <w:tc>
          <w:tcPr>
            <w:tcW w:type="dxa" w:w="4819"/>
          </w:tcPr>
          <w:p>
            <w:r/>
            <w:r>
              <w:rPr>
                <w:rFonts w:ascii="Times New Roman" w:hAnsi="Times New Roman" w:eastAsia="Times New Roman"/>
                <w:b w:val="0"/>
                <w:i w:val="0"/>
                <w:sz w:val="16"/>
              </w:rPr>
              <w:t>parade_of_trades_core.py</w:t>
            </w:r>
          </w:p>
        </w:tc>
        <w:tc>
          <w:tcPr>
            <w:tcW w:type="dxa" w:w="4819"/>
          </w:tcPr>
          <w:p>
            <w:r/>
            <w:r>
              <w:rPr>
                <w:rFonts w:ascii="Times New Roman" w:hAnsi="Times New Roman" w:eastAsia="Times New Roman"/>
                <w:b w:val="0"/>
                <w:i w:val="0"/>
                <w:sz w:val="16"/>
              </w:rPr>
              <w:t>Zone-flow engine: capacity, variability, batch handoff, history, duration.</w:t>
            </w:r>
          </w:p>
        </w:tc>
      </w:tr>
      <w:tr>
        <w:tc>
          <w:tcPr>
            <w:tcW w:type="dxa" w:w="4819"/>
          </w:tcPr>
          <w:p>
            <w:r/>
            <w:r>
              <w:rPr>
                <w:rFonts w:ascii="Times New Roman" w:hAnsi="Times New Roman" w:eastAsia="Times New Roman"/>
                <w:b w:val="0"/>
                <w:i w:val="0"/>
                <w:sz w:val="16"/>
              </w:rPr>
              <w:t>parade_of_trades_analysis.py</w:t>
            </w:r>
          </w:p>
        </w:tc>
        <w:tc>
          <w:tcPr>
            <w:tcW w:type="dxa" w:w="4819"/>
          </w:tcPr>
          <w:p>
            <w:r/>
            <w:r>
              <w:rPr>
                <w:rFonts w:ascii="Times New Roman" w:hAnsi="Times New Roman" w:eastAsia="Times New Roman"/>
                <w:b w:val="0"/>
                <w:i w:val="0"/>
                <w:sz w:val="16"/>
              </w:rPr>
              <w:t>Cost, Little’s Law, Kingman-style metrics, takt TD, export helpers.</w:t>
            </w:r>
          </w:p>
        </w:tc>
      </w:tr>
      <w:tr>
        <w:tc>
          <w:tcPr>
            <w:tcW w:type="dxa" w:w="4819"/>
          </w:tcPr>
          <w:p>
            <w:r/>
            <w:r>
              <w:rPr>
                <w:rFonts w:ascii="Times New Roman" w:hAnsi="Times New Roman" w:eastAsia="Times New Roman"/>
                <w:b w:val="0"/>
                <w:i w:val="0"/>
                <w:sz w:val="16"/>
              </w:rPr>
              <w:t>parade_of_trades_plots.py</w:t>
            </w:r>
          </w:p>
        </w:tc>
        <w:tc>
          <w:tcPr>
            <w:tcW w:type="dxa" w:w="4819"/>
          </w:tcPr>
          <w:p>
            <w:r/>
            <w:r>
              <w:rPr>
                <w:rFonts w:ascii="Times New Roman" w:hAnsi="Times New Roman" w:eastAsia="Times New Roman"/>
                <w:b w:val="0"/>
                <w:i w:val="0"/>
                <w:sz w:val="16"/>
              </w:rPr>
              <w:t>LOB, WIP, utilisation, cost, takt wagon, theory plots.</w:t>
            </w:r>
          </w:p>
        </w:tc>
      </w:tr>
      <w:tr>
        <w:tc>
          <w:tcPr>
            <w:tcW w:type="dxa" w:w="4819"/>
          </w:tcPr>
          <w:p>
            <w:r/>
            <w:r>
              <w:rPr>
                <w:rFonts w:ascii="Times New Roman" w:hAnsi="Times New Roman" w:eastAsia="Times New Roman"/>
                <w:b w:val="0"/>
                <w:i w:val="0"/>
                <w:sz w:val="16"/>
              </w:rPr>
              <w:t>app.py</w:t>
            </w:r>
          </w:p>
        </w:tc>
        <w:tc>
          <w:tcPr>
            <w:tcW w:type="dxa" w:w="4819"/>
          </w:tcPr>
          <w:p>
            <w:r/>
            <w:r>
              <w:rPr>
                <w:rFonts w:ascii="Times New Roman" w:hAnsi="Times New Roman" w:eastAsia="Times New Roman"/>
                <w:b w:val="0"/>
                <w:i w:val="0"/>
                <w:sz w:val="16"/>
              </w:rPr>
              <w:t>Streamlit UI: Simulation, Comparison, Takt plan, Manual.</w:t>
            </w:r>
          </w:p>
        </w:tc>
      </w:tr>
      <w:tr>
        <w:tc>
          <w:tcPr>
            <w:tcW w:type="dxa" w:w="4819"/>
          </w:tcPr>
          <w:p>
            <w:r/>
            <w:r>
              <w:rPr>
                <w:rFonts w:ascii="Times New Roman" w:hAnsi="Times New Roman" w:eastAsia="Times New Roman"/>
                <w:b w:val="0"/>
                <w:i w:val="0"/>
                <w:sz w:val="16"/>
              </w:rPr>
              <w:t>MANUAL.md</w:t>
            </w:r>
          </w:p>
        </w:tc>
        <w:tc>
          <w:tcPr>
            <w:tcW w:type="dxa" w:w="4819"/>
          </w:tcPr>
          <w:p>
            <w:r/>
            <w:r>
              <w:rPr>
                <w:rFonts w:ascii="Times New Roman" w:hAnsi="Times New Roman" w:eastAsia="Times New Roman"/>
                <w:b w:val="0"/>
                <w:i w:val="0"/>
                <w:sz w:val="16"/>
              </w:rPr>
              <w:t>Indonesian teaching manual.</w:t>
            </w:r>
          </w:p>
        </w:tc>
      </w:tr>
      <w:tr>
        <w:tc>
          <w:tcPr>
            <w:tcW w:type="dxa" w:w="4819"/>
          </w:tcPr>
          <w:p>
            <w:r/>
            <w:r>
              <w:rPr>
                <w:rFonts w:ascii="Times New Roman" w:hAnsi="Times New Roman" w:eastAsia="Times New Roman"/>
                <w:b w:val="0"/>
                <w:i w:val="0"/>
                <w:sz w:val="16"/>
              </w:rPr>
              <w:t>test_*.py</w:t>
            </w:r>
          </w:p>
        </w:tc>
        <w:tc>
          <w:tcPr>
            <w:tcW w:type="dxa" w:w="4819"/>
          </w:tcPr>
          <w:p>
            <w:r/>
            <w:r>
              <w:rPr>
                <w:rFonts w:ascii="Times New Roman" w:hAnsi="Times New Roman" w:eastAsia="Times New Roman"/>
                <w:b w:val="0"/>
                <w:i w:val="0"/>
                <w:sz w:val="16"/>
              </w:rPr>
              <w:t>Regression tests for engine and plots.</w:t>
            </w:r>
          </w:p>
        </w:tc>
      </w:tr>
    </w:tbl>
    <w:p/>
    <w:p>
      <w:pPr>
        <w:spacing w:before="160" w:after="120"/>
      </w:pPr>
      <w:r>
        <w:rPr>
          <w:rFonts w:ascii="Times New Roman" w:hAnsi="Times New Roman" w:eastAsia="Times New Roman"/>
          <w:b/>
          <w:i w:val="0"/>
          <w:sz w:val="22"/>
        </w:rPr>
        <w:t>2.2. Software functionalities</w:t>
      </w:r>
    </w:p>
    <w:p>
      <w:pPr>
        <w:spacing w:after="120" w:before="0" w:line="276" w:lineRule="auto"/>
        <w:ind w:firstLine="425"/>
      </w:pPr>
      <w:r>
        <w:rPr>
          <w:rFonts w:ascii="Times New Roman" w:hAnsi="Times New Roman" w:eastAsia="Times New Roman"/>
          <w:b w:val="0"/>
          <w:i w:val="0"/>
          <w:sz w:val="22"/>
        </w:rPr>
        <w:t>Simulation runs a single zone-flow scenario (capacity, variability, batch) and reports duration, throughput, active/idle team-periods and costs, LOB, WIP, utilisation, and theory tabs. Comparison supports 2–5 scenarios with quick fills (e.g. five variability levels; batch 1 vs 4). The takt module fixes 360 m² floors and 40 bays (3×3 m), lets users choose TZ from {1,5,10,20,40}, time per floor, and bays/day capacity, then computes te and TD and draws a wagon chart. CSV/Excel export and the Manual tab support assessment. Fig. 1 and Fig. 2 (placeholders) should show LOB and takt wagon screenshots.</w:t>
      </w:r>
    </w:p>
    <w:p>
      <w:pPr>
        <w:spacing w:after="40" w:before="0" w:line="276" w:lineRule="auto"/>
        <w:jc w:val="center"/>
      </w:pPr>
      <w:r>
        <w:rPr>
          <w:rFonts w:ascii="Times New Roman" w:hAnsi="Times New Roman" w:eastAsia="Times New Roman"/>
          <w:b w:val="0"/>
          <w:i/>
          <w:sz w:val="20"/>
        </w:rPr>
        <w:t>[Insert Figure 1 — LOB screenshot]</w:t>
      </w:r>
    </w:p>
    <w:p>
      <w:pPr>
        <w:spacing w:after="120" w:before="0" w:line="276" w:lineRule="auto"/>
      </w:pPr>
      <w:r>
        <w:rPr>
          <w:rFonts w:ascii="Times New Roman" w:hAnsi="Times New Roman" w:eastAsia="Times New Roman"/>
          <w:b w:val="0"/>
          <w:i/>
          <w:sz w:val="18"/>
        </w:rPr>
        <w:t>Fig. 1. Line of Balance for a five-trade zone-flow run (illustrative).</w:t>
      </w:r>
    </w:p>
    <w:p>
      <w:pPr>
        <w:spacing w:after="40" w:before="0" w:line="276" w:lineRule="auto"/>
        <w:jc w:val="center"/>
      </w:pPr>
      <w:r>
        <w:rPr>
          <w:rFonts w:ascii="Times New Roman" w:hAnsi="Times New Roman" w:eastAsia="Times New Roman"/>
          <w:b w:val="0"/>
          <w:i/>
          <w:sz w:val="20"/>
        </w:rPr>
        <w:t>[Insert Figure 2 — Takt wagon screenshot]</w:t>
      </w:r>
    </w:p>
    <w:p>
      <w:pPr>
        <w:spacing w:after="160" w:before="0" w:line="276" w:lineRule="auto"/>
      </w:pPr>
      <w:r>
        <w:rPr>
          <w:rFonts w:ascii="Times New Roman" w:hAnsi="Times New Roman" w:eastAsia="Times New Roman"/>
          <w:b w:val="0"/>
          <w:i/>
          <w:sz w:val="18"/>
        </w:rPr>
        <w:t>Fig. 2. Takt wagon chart (TW = 5, TZ = 10) with on-bar trade labels T1–T5.</w:t>
      </w:r>
    </w:p>
    <w:p>
      <w:pPr>
        <w:spacing w:before="240" w:after="120"/>
      </w:pPr>
      <w:r>
        <w:rPr>
          <w:rFonts w:ascii="Times New Roman" w:hAnsi="Times New Roman" w:eastAsia="Times New Roman"/>
          <w:b/>
          <w:i w:val="0"/>
          <w:sz w:val="24"/>
        </w:rPr>
        <w:t>3. Impact Overview</w:t>
      </w:r>
    </w:p>
    <w:p>
      <w:pPr>
        <w:spacing w:after="120" w:before="0" w:line="276" w:lineRule="auto"/>
        <w:ind w:firstLine="425"/>
      </w:pPr>
      <w:r>
        <w:rPr>
          <w:rFonts w:ascii="Times New Roman" w:hAnsi="Times New Roman" w:eastAsia="Times New Roman"/>
          <w:b w:val="0"/>
          <w:i w:val="0"/>
          <w:sz w:val="22"/>
        </w:rPr>
        <w:t>Building on Tommelein’s Parade of Trades [1,10], the software operationalises parade dynamics for repeatable classroom experiments on variability, batch handoff, idle cost, and takt zone granularity.</w:t>
      </w:r>
    </w:p>
    <w:p>
      <w:pPr>
        <w:spacing w:after="120" w:before="0" w:line="276" w:lineRule="auto"/>
        <w:ind w:firstLine="425"/>
      </w:pPr>
      <w:r>
        <w:rPr>
          <w:rFonts w:ascii="Times New Roman" w:hAnsi="Times New Roman" w:eastAsia="Times New Roman"/>
          <w:b w:val="0"/>
          <w:i w:val="0"/>
          <w:sz w:val="22"/>
        </w:rPr>
        <w:t>Teaching deployment. Used in [COURSE] at [University], [Country], with approximately [N] students in [semester/year]. Workshops: [event], [year], [N] participants. Scholarly outputs that used the software: [8]. Open reuse via GitHub under an OSI licence [PLACEHOLDER].</w:t>
      </w:r>
    </w:p>
    <w:p>
      <w:pPr>
        <w:spacing w:after="160" w:before="0" w:line="276" w:lineRule="auto"/>
        <w:ind w:firstLine="425"/>
      </w:pPr>
      <w:r>
        <w:rPr>
          <w:rFonts w:ascii="Times New Roman" w:hAnsi="Times New Roman" w:eastAsia="Times New Roman"/>
          <w:b w:val="0"/>
          <w:i w:val="0"/>
          <w:sz w:val="22"/>
        </w:rPr>
        <w:t>Expected impact includes continued course use, richer Tommelein-style variability lessons with cost and Factory Physics metrics, and extensions (multi-floor, field data). Cite this Software Impacts article for stable reuse.</w:t>
      </w:r>
    </w:p>
    <w:p>
      <w:pPr>
        <w:spacing w:before="240" w:after="120"/>
      </w:pPr>
      <w:r>
        <w:rPr>
          <w:rFonts w:ascii="Times New Roman" w:hAnsi="Times New Roman" w:eastAsia="Times New Roman"/>
          <w:b/>
          <w:i w:val="0"/>
          <w:sz w:val="24"/>
        </w:rPr>
        <w:t>4. Illustrative examples</w:t>
      </w:r>
    </w:p>
    <w:p>
      <w:pPr>
        <w:spacing w:after="160" w:before="0" w:line="276" w:lineRule="auto"/>
        <w:ind w:firstLine="425"/>
      </w:pPr>
      <w:r>
        <w:rPr>
          <w:rFonts w:ascii="Times New Roman" w:hAnsi="Times New Roman" w:eastAsia="Times New Roman"/>
          <w:b w:val="0"/>
          <w:i w:val="0"/>
          <w:sz w:val="22"/>
        </w:rPr>
        <w:t>Example A — Variability raises idle team-periods and cost versus a no-variability baseline at equal mean capacity. Example B — Batch 1 vs 4 changes calendar duration even when active work content is similar if idle is zero. Example C — Takt: TZ = 10 and 4 bays/day → te = 1 day/zone → TD = (5+10−1)×1 = 14 days/floor; TZ = 20 → TD = 12 days/floor, illustrating finer zoning under fixed bay inventory and capacity.</w:t>
      </w:r>
    </w:p>
    <w:p>
      <w:pPr>
        <w:spacing w:before="240" w:after="120"/>
      </w:pPr>
      <w:r>
        <w:rPr>
          <w:rFonts w:ascii="Times New Roman" w:hAnsi="Times New Roman" w:eastAsia="Times New Roman"/>
          <w:b/>
          <w:i w:val="0"/>
          <w:sz w:val="24"/>
        </w:rPr>
        <w:t>5. Conclusions and future improvements</w:t>
      </w:r>
    </w:p>
    <w:p>
      <w:pPr>
        <w:spacing w:after="160" w:before="0" w:line="276" w:lineRule="auto"/>
        <w:ind w:firstLine="425"/>
      </w:pPr>
      <w:r>
        <w:rPr>
          <w:rFonts w:ascii="Times New Roman" w:hAnsi="Times New Roman" w:eastAsia="Times New Roman"/>
          <w:b w:val="0"/>
          <w:i w:val="0"/>
          <w:sz w:val="22"/>
        </w:rPr>
        <w:t>Parade Tim Kerja continues Tommelein’s Parade of Trades pedagogy in an open browser environment and strengthens it with zone-flow controls, production analytics, idle-cost accounting, multi-scenario comparison, and takt planning (bays ≠ zones). Future work may add multi-floor parallelism, bilingual UI, field productivity import, and CodeOcean capsules.</w:t>
      </w:r>
    </w:p>
    <w:p>
      <w:pPr>
        <w:spacing w:before="240" w:after="120"/>
      </w:pPr>
      <w:r>
        <w:rPr>
          <w:rFonts w:ascii="Times New Roman" w:hAnsi="Times New Roman" w:eastAsia="Times New Roman"/>
          <w:b/>
          <w:i w:val="0"/>
          <w:sz w:val="24"/>
        </w:rPr>
        <w:t>CRediT authorship contribution statement</w:t>
      </w:r>
    </w:p>
    <w:p>
      <w:pPr>
        <w:spacing w:after="120" w:before="0" w:line="276" w:lineRule="auto"/>
      </w:pPr>
      <w:r>
        <w:rPr>
          <w:rFonts w:ascii="Times New Roman" w:hAnsi="Times New Roman" w:eastAsia="Times New Roman"/>
          <w:b w:val="0"/>
          <w:i w:val="0"/>
          <w:sz w:val="20"/>
        </w:rPr>
        <w:t>[Author A]: Conceptualization, Methodology, Software, Writing – original draft. [Author B]: …</w:t>
      </w:r>
    </w:p>
    <w:p>
      <w:pPr>
        <w:spacing w:before="240" w:after="120"/>
      </w:pPr>
      <w:r>
        <w:rPr>
          <w:rFonts w:ascii="Times New Roman" w:hAnsi="Times New Roman" w:eastAsia="Times New Roman"/>
          <w:b/>
          <w:i w:val="0"/>
          <w:sz w:val="24"/>
        </w:rPr>
        <w:t>Declaration of competing interest</w:t>
      </w:r>
    </w:p>
    <w:p>
      <w:pPr>
        <w:spacing w:after="120" w:before="0" w:line="276" w:lineRule="auto"/>
      </w:pPr>
      <w:r>
        <w:rPr>
          <w:rFonts w:ascii="Times New Roman" w:hAnsi="Times New Roman" w:eastAsia="Times New Roman"/>
          <w:b w:val="0"/>
          <w:i w:val="0"/>
          <w:sz w:val="20"/>
        </w:rPr>
        <w:t>The authors declare that they have no known competing financial interests or personal relationships that could have appeared to influence the work reported in this paper.</w:t>
      </w:r>
    </w:p>
    <w:p>
      <w:pPr>
        <w:spacing w:before="240" w:after="120"/>
      </w:pPr>
      <w:r>
        <w:rPr>
          <w:rFonts w:ascii="Times New Roman" w:hAnsi="Times New Roman" w:eastAsia="Times New Roman"/>
          <w:b/>
          <w:i w:val="0"/>
          <w:sz w:val="24"/>
        </w:rPr>
        <w:t>Acknowledgements</w:t>
      </w:r>
    </w:p>
    <w:p>
      <w:pPr>
        <w:spacing w:after="120" w:before="0" w:line="276" w:lineRule="auto"/>
      </w:pPr>
      <w:r>
        <w:rPr>
          <w:rFonts w:ascii="Times New Roman" w:hAnsi="Times New Roman" w:eastAsia="Times New Roman"/>
          <w:b w:val="0"/>
          <w:i w:val="0"/>
          <w:sz w:val="20"/>
        </w:rPr>
        <w:t>The authors acknowledge the foundational Parade of Trades pedagogy and software tradition of Iris D. Tommelein and colleagues [1,10], on which this educational implementation builds. [Optional further thanks.]</w:t>
      </w:r>
    </w:p>
    <w:p>
      <w:pPr>
        <w:spacing w:before="240" w:after="120"/>
      </w:pPr>
      <w:r>
        <w:rPr>
          <w:rFonts w:ascii="Times New Roman" w:hAnsi="Times New Roman" w:eastAsia="Times New Roman"/>
          <w:b/>
          <w:i w:val="0"/>
          <w:sz w:val="24"/>
        </w:rPr>
        <w:t>Funding</w:t>
      </w:r>
    </w:p>
    <w:p>
      <w:pPr>
        <w:spacing w:after="120" w:before="0" w:line="276" w:lineRule="auto"/>
      </w:pPr>
      <w:r>
        <w:rPr>
          <w:rFonts w:ascii="Times New Roman" w:hAnsi="Times New Roman" w:eastAsia="Times New Roman"/>
          <w:b w:val="0"/>
          <w:i w:val="0"/>
          <w:sz w:val="20"/>
        </w:rPr>
        <w:t>This research did not receive any specific grant from funding agencies in the public, commercial, or not-for-profit sectors.</w:t>
      </w:r>
    </w:p>
    <w:p>
      <w:pPr>
        <w:spacing w:before="240" w:after="120"/>
      </w:pPr>
      <w:r>
        <w:rPr>
          <w:rFonts w:ascii="Times New Roman" w:hAnsi="Times New Roman" w:eastAsia="Times New Roman"/>
          <w:b/>
          <w:i w:val="0"/>
          <w:sz w:val="24"/>
        </w:rPr>
        <w:t>Declaration of generative AI and AI-assisted technologies in the manuscript preparation process</w:t>
      </w:r>
    </w:p>
    <w:p>
      <w:pPr>
        <w:spacing w:after="120" w:before="0" w:line="276" w:lineRule="auto"/>
      </w:pPr>
      <w:r>
        <w:rPr>
          <w:rFonts w:ascii="Times New Roman" w:hAnsi="Times New Roman" w:eastAsia="Times New Roman"/>
          <w:b w:val="0"/>
          <w:i w:val="0"/>
          <w:sz w:val="20"/>
        </w:rPr>
        <w:t>[If applicable, disclose tool and purpose; otherwise delete or state none used for manuscript text.]</w:t>
      </w:r>
    </w:p>
    <w:p>
      <w:pPr>
        <w:spacing w:before="240" w:after="120"/>
      </w:pPr>
      <w:r>
        <w:rPr>
          <w:rFonts w:ascii="Times New Roman" w:hAnsi="Times New Roman" w:eastAsia="Times New Roman"/>
          <w:b/>
          <w:i w:val="0"/>
          <w:sz w:val="24"/>
        </w:rPr>
        <w:t>Data availability</w:t>
      </w:r>
    </w:p>
    <w:p>
      <w:pPr>
        <w:spacing w:after="120" w:before="0" w:line="276" w:lineRule="auto"/>
      </w:pPr>
      <w:r>
        <w:rPr>
          <w:rFonts w:ascii="Times New Roman" w:hAnsi="Times New Roman" w:eastAsia="Times New Roman"/>
          <w:b w:val="0"/>
          <w:i w:val="0"/>
          <w:sz w:val="20"/>
        </w:rPr>
        <w:t>Outputs are generated at runtime from user parameters and seeds; defaults (10 zones, seed 12345) reproduce classroom examples. MANUAL.md is in the repository.</w:t>
      </w:r>
    </w:p>
    <w:p>
      <w:pPr>
        <w:spacing w:before="240" w:after="120"/>
      </w:pPr>
      <w:r>
        <w:rPr>
          <w:rFonts w:ascii="Times New Roman" w:hAnsi="Times New Roman" w:eastAsia="Times New Roman"/>
          <w:b/>
          <w:i w:val="0"/>
          <w:sz w:val="24"/>
        </w:rPr>
        <w:t>Software availability</w:t>
      </w:r>
    </w:p>
    <w:p>
      <w:pPr>
        <w:spacing w:after="160" w:before="0" w:line="276" w:lineRule="auto"/>
      </w:pPr>
      <w:r>
        <w:rPr>
          <w:rFonts w:ascii="Times New Roman" w:hAnsi="Times New Roman" w:eastAsia="Times New Roman"/>
          <w:b w:val="0"/>
          <w:i w:val="0"/>
          <w:sz w:val="20"/>
        </w:rPr>
        <w:t>Program title: Parade Tim Kerja. Source: https://github.com/m46d45/Parade-Tim-Kerja . Live demo: [Streamlit URL]. Year first available: 2026. Language: Python. Licence: [OSI-approved].</w:t>
      </w:r>
    </w:p>
    <w:p>
      <w:pPr>
        <w:spacing w:before="240" w:after="120"/>
      </w:pPr>
      <w:r>
        <w:rPr>
          <w:rFonts w:ascii="Times New Roman" w:hAnsi="Times New Roman" w:eastAsia="Times New Roman"/>
          <w:b/>
          <w:i w:val="0"/>
          <w:sz w:val="24"/>
        </w:rPr>
        <w:t>References</w:t>
      </w:r>
    </w:p>
    <w:p>
      <w:pPr>
        <w:spacing w:after="60"/>
        <w:ind w:left="425" w:hanging="425"/>
      </w:pPr>
      <w:r>
        <w:rPr>
          <w:rFonts w:ascii="Times New Roman" w:hAnsi="Times New Roman" w:eastAsia="Times New Roman"/>
          <w:b w:val="0"/>
          <w:i w:val="0"/>
          <w:sz w:val="18"/>
        </w:rPr>
        <w:t>[1] I.D. Tommelein, D. Riley, G.A. Howell, Parade Game: Impact of work flow variability on trade performance, J. Constr. Eng. Manage. 125 (5) (1999) 304–310. https://doi.org/10.1061/(ASCE)0733-9364(1999)125:5(304)</w:t>
      </w:r>
    </w:p>
    <w:p>
      <w:pPr>
        <w:spacing w:after="60"/>
        <w:ind w:left="425" w:hanging="425"/>
      </w:pPr>
      <w:r>
        <w:rPr>
          <w:rFonts w:ascii="Times New Roman" w:hAnsi="Times New Roman" w:eastAsia="Times New Roman"/>
          <w:b w:val="0"/>
          <w:i w:val="0"/>
          <w:sz w:val="18"/>
        </w:rPr>
        <w:t>[2] W.J. Hopp, M.L. Spearman, Factory Physics, 3rd ed., Waveland Press, Long Grove, IL, 2011.</w:t>
      </w:r>
    </w:p>
    <w:p>
      <w:pPr>
        <w:spacing w:after="60"/>
        <w:ind w:left="425" w:hanging="425"/>
      </w:pPr>
      <w:r>
        <w:rPr>
          <w:rFonts w:ascii="Times New Roman" w:hAnsi="Times New Roman" w:eastAsia="Times New Roman"/>
          <w:b w:val="0"/>
          <w:i w:val="0"/>
          <w:sz w:val="18"/>
        </w:rPr>
        <w:t>[3] J.D.C. Little, S.C. Graves, Little’s Law, in: D. Chhajed, T.J. Lowe (Eds.), Building Intuition, Springer, 2008, pp. 81–100.</w:t>
      </w:r>
    </w:p>
    <w:p>
      <w:pPr>
        <w:spacing w:after="60"/>
        <w:ind w:left="425" w:hanging="425"/>
      </w:pPr>
      <w:r>
        <w:rPr>
          <w:rFonts w:ascii="Times New Roman" w:hAnsi="Times New Roman" w:eastAsia="Times New Roman"/>
          <w:b w:val="0"/>
          <w:i w:val="0"/>
          <w:sz w:val="18"/>
        </w:rPr>
        <w:t>[4] Lean Enterprise Institute, Takt time, LEI Lexicon. https://www.lean.org/lexicon-terms/takt-time/ (accessed 5 August 2026).</w:t>
      </w:r>
    </w:p>
    <w:p>
      <w:pPr>
        <w:spacing w:after="60"/>
        <w:ind w:left="425" w:hanging="425"/>
      </w:pPr>
      <w:r>
        <w:rPr>
          <w:rFonts w:ascii="Times New Roman" w:hAnsi="Times New Roman" w:eastAsia="Times New Roman"/>
          <w:b w:val="0"/>
          <w:i w:val="0"/>
          <w:sz w:val="18"/>
        </w:rPr>
        <w:t>[5] A. Frandson, K. Berghede, I.D. Tommelein, Takt time planning for construction of exterior cladding, in: Proc. IGLC-21, Fortaleza, Brazil, 2013.</w:t>
      </w:r>
    </w:p>
    <w:p>
      <w:pPr>
        <w:spacing w:after="60"/>
        <w:ind w:left="425" w:hanging="425"/>
      </w:pPr>
      <w:r>
        <w:rPr>
          <w:rFonts w:ascii="Times New Roman" w:hAnsi="Times New Roman" w:eastAsia="Times New Roman"/>
          <w:b w:val="0"/>
          <w:i w:val="0"/>
          <w:sz w:val="18"/>
        </w:rPr>
        <w:t>[6] Project Production Institute, Little’s Law in production systems with yield loss. https://projectproduction.org/journal/littles-law-in-production-systems-with-yield-loss/ (accessed 5 August 2026).</w:t>
      </w:r>
    </w:p>
    <w:p>
      <w:pPr>
        <w:spacing w:after="60"/>
        <w:ind w:left="425" w:hanging="425"/>
      </w:pPr>
      <w:r>
        <w:rPr>
          <w:rFonts w:ascii="Times New Roman" w:hAnsi="Times New Roman" w:eastAsia="Times New Roman"/>
          <w:b w:val="0"/>
          <w:i w:val="0"/>
          <w:sz w:val="18"/>
        </w:rPr>
        <w:t>[7] J.F.C. Kingman, The single server queue in heavy traffic, Math. Proc. Cambridge Philos. Soc. 57 (4) (1961) 902–904.</w:t>
      </w:r>
    </w:p>
    <w:p>
      <w:pPr>
        <w:spacing w:after="60"/>
        <w:ind w:left="425" w:hanging="425"/>
      </w:pPr>
      <w:r>
        <w:rPr>
          <w:rFonts w:ascii="Times New Roman" w:hAnsi="Times New Roman" w:eastAsia="Times New Roman"/>
          <w:b w:val="0"/>
          <w:i w:val="0"/>
          <w:sz w:val="18"/>
        </w:rPr>
        <w:t>[8] [PLACEHOLDER — Peer-reviewed article that used Parade Tim Kerja; full citation with DOI.]</w:t>
      </w:r>
    </w:p>
    <w:p>
      <w:pPr>
        <w:spacing w:after="60"/>
        <w:ind w:left="425" w:hanging="425"/>
      </w:pPr>
      <w:r>
        <w:rPr>
          <w:rFonts w:ascii="Times New Roman" w:hAnsi="Times New Roman" w:eastAsia="Times New Roman"/>
          <w:b w:val="0"/>
          <w:i w:val="0"/>
          <w:sz w:val="18"/>
        </w:rPr>
        <w:t>[9] Lean Built, Is takt really magic? https://leanbuilt.us/is-takt-really-magic/ (accessed 5 August 2026).</w:t>
      </w:r>
    </w:p>
    <w:p>
      <w:pPr>
        <w:spacing w:after="60"/>
        <w:ind w:left="425" w:hanging="425"/>
      </w:pPr>
      <w:r>
        <w:rPr>
          <w:rFonts w:ascii="Times New Roman" w:hAnsi="Times New Roman" w:eastAsia="Times New Roman"/>
          <w:b w:val="0"/>
          <w:i w:val="0"/>
          <w:sz w:val="18"/>
        </w:rPr>
        <w:t>[10] H.J. Choo, I.D. Tommelein, Parade of Trades: A Computer Game for Understanding Variability and Dependence, Technical Report 99-1, Construction Engineering and Management Program, Department of Civil and Environmental Engineering, University of California, Berkeley, September 1999. http://p2sl.berkeley.edu/wp-content/uploads/2020/03/Choo_Tommelein_1999_Parade_of_Trades.pdf</w:t>
      </w:r>
    </w:p>
    <w:p>
      <w:r>
        <w:br w:type="page"/>
      </w:r>
    </w:p>
    <w:p>
      <w:pPr>
        <w:spacing w:before="240" w:after="120"/>
      </w:pPr>
      <w:r>
        <w:rPr>
          <w:rFonts w:ascii="Times New Roman" w:hAnsi="Times New Roman" w:eastAsia="Times New Roman"/>
          <w:b/>
          <w:i w:val="0"/>
          <w:sz w:val="24"/>
        </w:rPr>
        <w:t>Author notes (remove before submission)</w:t>
      </w:r>
    </w:p>
    <w:p>
      <w:pPr>
        <w:spacing w:after="80" w:before="0" w:line="276" w:lineRule="auto"/>
      </w:pPr>
      <w:r>
        <w:rPr>
          <w:rFonts w:ascii="Times New Roman" w:hAnsi="Times New Roman" w:eastAsia="Times New Roman"/>
          <w:b w:val="0"/>
          <w:i w:val="0"/>
          <w:sz w:val="20"/>
        </w:rPr>
        <w:t>Section 1.1–1.2 and Table 2 state lineage from Tommelein Parade of Trades and differentiation/strengths.</w:t>
      </w:r>
    </w:p>
    <w:p>
      <w:pPr>
        <w:spacing w:after="80" w:before="0" w:line="276" w:lineRule="auto"/>
      </w:pPr>
      <w:r>
        <w:rPr>
          <w:rFonts w:ascii="Times New Roman" w:hAnsi="Times New Roman" w:eastAsia="Times New Roman"/>
          <w:b w:val="0"/>
          <w:i w:val="0"/>
          <w:sz w:val="20"/>
        </w:rPr>
        <w:t>Acknowledge [1] and [10] in Acknowledgements; do not imply endorsement by original authors unless obtained.</w:t>
      </w:r>
    </w:p>
    <w:p>
      <w:pPr>
        <w:spacing w:after="80" w:before="0" w:line="276" w:lineRule="auto"/>
      </w:pPr>
      <w:r>
        <w:rPr>
          <w:rFonts w:ascii="Times New Roman" w:hAnsi="Times New Roman" w:eastAsia="Times New Roman"/>
          <w:b w:val="0"/>
          <w:i w:val="0"/>
          <w:sz w:val="20"/>
        </w:rPr>
        <w:t>Complete Impact Overview [8], OSI licence, Streamlit URL, figures, and author names.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