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76"/>
      </w:pPr>
      <w:r>
        <w:rPr>
          <w:rFonts w:ascii="Calibri" w:cs="Calibri" w:eastAsia="Calibri" w:hAnsi="Calibri"/>
          <w:b w:val="false"/>
          <w:bCs w:val="false"/>
          <w:i w:val="false"/>
          <w:iCs w:val="false"/>
          <w:color w:val="1B4F5C"/>
          <w:sz w:val="16"/>
          <w:szCs w:val="16"/>
        </w:rPr>
        <w:t xml:space="preserve">P2MI MULTIDISIPLIN FTSL ITB  ·  28 AGUSTUS 2026</w:t>
      </w:r>
    </w:p>
    <w:p>
      <w:pPr>
        <w:spacing w:after="80"/>
      </w:pPr>
      <w:r>
        <w:rPr>
          <w:rFonts w:ascii="Calibri" w:cs="Calibri" w:eastAsia="Calibri" w:hAnsi="Calibri"/>
          <w:b/>
          <w:bCs/>
          <w:color w:val="1F1A16"/>
          <w:sz w:val="48"/>
          <w:szCs w:val="48"/>
        </w:rPr>
        <w:t xml:space="preserve">Metodologi PKPRB</w:t>
      </w:r>
    </w:p>
    <w:p>
      <w:pPr>
        <w:spacing w:after="200" w:before="0" w:line="276"/>
      </w:pPr>
      <w:r>
        <w:rPr>
          <w:rFonts w:ascii="Calibri" w:cs="Calibri" w:eastAsia="Calibri" w:hAnsi="Calibri"/>
          <w:b w:val="false"/>
          <w:bCs w:val="false"/>
          <w:i/>
          <w:iCs/>
          <w:color w:val="5C564E"/>
          <w:sz w:val="24"/>
          <w:szCs w:val="24"/>
        </w:rPr>
        <w:t xml:space="preserve">Peta Keselarasan Pendidikan dan Risiko Bencana</w:t>
      </w:r>
    </w:p>
    <w:p>
      <w:pPr>
        <w:spacing w:after="160" w:before="0" w:line="276"/>
      </w:pPr>
      <w:r>
        <w:rPr>
          <w:rFonts w:ascii="Calibri" w:cs="Calibri" w:eastAsia="Calibri" w:hAnsi="Calibri"/>
          <w:b w:val="false"/>
          <w:bCs w:val="false"/>
          <w:i w:val="false"/>
          <w:iCs w:val="false"/>
          <w:color w:val="5C564E"/>
          <w:sz w:val="18"/>
          <w:szCs w:val="18"/>
        </w:rPr>
        <w:t xml:space="preserve">Versi web: https://pkprb.vercel.app/metodologi   ·   Peta: https://pkprb.vercel.app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4CFC5" w:sz="4"/>
              <w:left w:val="single" w:color="D4CFC5" w:sz="4"/>
              <w:bottom w:val="single" w:color="D4CFC5" w:sz="4"/>
              <w:right w:val="single" w:color="D4CFC5" w:sz="4"/>
            </w:tcBorders>
            <w:shd w:fill="EFE8DC" w:val="clear"/>
            <w:tcMar>
              <w:top w:type="dxa" w:w="120"/>
              <w:left w:type="dxa" w:w="140"/>
              <w:bottom w:type="dxa" w:w="120"/>
              <w:right w:type="dxa" w:w="140"/>
            </w:tcMar>
          </w:tcPr>
          <w:p>
            <w:pPr>
              <w:spacing w:after="80" w:before="0" w:line="276"/>
            </w:pPr>
            <w:r>
              <w:rPr>
                <w:rFonts w:ascii="Calibri" w:cs="Calibri" w:eastAsia="Calibri" w:hAnsi="Calibri"/>
                <w:b/>
                <w:bCs/>
                <w:i w:val="false"/>
                <w:iCs w:val="false"/>
                <w:color w:val="1F1A16"/>
                <w:sz w:val="20"/>
                <w:szCs w:val="20"/>
              </w:rPr>
              <w:t xml:space="preserve">Bukan peta kesiapan atau ketangguhan daerah.</w:t>
            </w:r>
          </w:p>
          <w:p>
            <w:pPr>
              <w:spacing w:after="0" w:before="0" w:line="276"/>
            </w:pPr>
            <w:r>
              <w:rPr>
                <w:rFonts w:ascii="Calibri" w:cs="Calibri" w:eastAsia="Calibri" w:hAnsi="Calibri"/>
                <w:b w:val="false"/>
                <w:bCs w:val="false"/>
                <w:i w:val="false"/>
                <w:iCs w:val="false"/>
                <w:color w:val="1F1A16"/>
                <w:sz w:val="20"/>
                <w:szCs w:val="20"/>
              </w:rPr>
              <w:t xml:space="preserve">PKPRB memetakan keselarasan antara profil risiko provinsi (IRBI 2025 komposit) dan dukungan pendidikan tinggi yang relevan bagi ketangguhan infrastruktur. Tidak mengukur BPBD, SNI, stok insinyur, atau mutu lulusan di lapangan.</w:t>
            </w:r>
          </w:p>
        </w:tc>
      </w:tr>
    </w:tbl>
    <w:p>
      <w:pPr>
        <w:pStyle w:val="Heading1"/>
        <w:spacing w:after="140" w:before="280"/>
      </w:pPr>
      <w:r>
        <w:rPr>
          <w:rFonts w:ascii="Calibri" w:cs="Calibri" w:eastAsia="Calibri" w:hAnsi="Calibri"/>
          <w:b/>
          <w:bCs/>
          <w:color w:val="1F1A16"/>
        </w:rPr>
        <w:t xml:space="preserve">1. Keputusan sumber risiko (opsi 1)</w:t>
      </w:r>
    </w:p>
    <w:p>
      <w:pPr>
        <w:spacing w:after="160" w:before="0" w:line="276"/>
      </w:pPr>
      <w:r>
        <w:rPr>
          <w:rFonts w:ascii="Calibri" w:cs="Calibri" w:eastAsia="Calibri" w:hAnsi="Calibri"/>
          <w:b w:val="false"/>
          <w:bCs w:val="false"/>
          <w:i w:val="false"/>
          <w:iCs w:val="false"/>
          <w:color w:val="1F1A16"/>
          <w:sz w:val="22"/>
          <w:szCs w:val="22"/>
        </w:rPr>
        <w:t xml:space="preserve">Layer Risiko dan sumbu risiko pada Keselarasan memakai satu angka resmi: indeks komposit IRBI 2025 Badan Nasional Penanggulangan Bencana, dibaca dari buku InaRISK untuk 38 provinsi. Cap tampilan 250 agar Papua Barat Daya (230,78) tidak terpotong.</w:t>
      </w:r>
    </w:p>
    <w:p>
      <w:pPr>
        <w:spacing w:after="160" w:before="0" w:line="276"/>
      </w:pPr>
      <w:r>
        <w:rPr>
          <w:rFonts w:ascii="Calibri" w:cs="Calibri" w:eastAsia="Calibri" w:hAnsi="Calibri"/>
          <w:b w:val="false"/>
          <w:bCs w:val="false"/>
          <w:i w:val="false"/>
          <w:iCs w:val="false"/>
          <w:color w:val="1F1A16"/>
          <w:sz w:val="22"/>
          <w:szCs w:val="22"/>
        </w:rPr>
        <w:t xml:space="preserve">Buku IRBI 2025 tidak menerbitkan skor ancaman (gempa, tsunami, banjir, …) pada tingkat provinsi. Yang ada hanya komposit, lalu peringkat kabupaten per jenis ancaman. Karena itu filter jenis bahaya di peta tidak mengganti warna risiko. Filter itu hanya mengubah: (a) matriks bobot disiplin untuk skor prodi, (b) kecocokan bahaya pusat studi, (c) daftar peristiwa historis yang dijumlahkan.</w:t>
      </w:r>
    </w:p>
    <w:p>
      <w:pPr>
        <w:spacing w:after="160" w:before="0" w:line="276"/>
      </w:pPr>
      <w:r>
        <w:rPr>
          <w:rFonts w:ascii="Calibri" w:cs="Calibri" w:eastAsia="Calibri" w:hAnsi="Calibri"/>
          <w:b w:val="false"/>
          <w:bCs w:val="false"/>
          <w:i w:val="false"/>
          <w:iCs w:val="false"/>
          <w:color w:val="1F1A16"/>
          <w:sz w:val="22"/>
          <w:szCs w:val="22"/>
        </w:rPr>
        <w:t xml:space="preserve">Kolom per-bahaya di lembar 05 template adalah sisa prototipe dan tidak dibaca mesin skor.</w:t>
      </w:r>
    </w:p>
    <w:p>
      <w:pPr>
        <w:pStyle w:val="Heading1"/>
        <w:spacing w:after="140" w:before="280"/>
      </w:pPr>
      <w:r>
        <w:rPr>
          <w:rFonts w:ascii="Calibri" w:cs="Calibri" w:eastAsia="Calibri" w:hAnsi="Calibri"/>
          <w:b/>
          <w:bCs/>
          <w:color w:val="1F1A16"/>
        </w:rPr>
        <w:t xml:space="preserve">2. Cara membaca enam layer</w:t>
      </w:r>
    </w:p>
    <w:p>
      <w:pPr>
        <w:spacing w:after="160" w:before="0" w:line="276"/>
      </w:pPr>
      <w:r>
        <w:rPr>
          <w:rFonts w:ascii="Calibri" w:cs="Calibri" w:eastAsia="Calibri" w:hAnsi="Calibri"/>
          <w:b w:val="false"/>
          <w:bCs w:val="false"/>
          <w:i w:val="false"/>
          <w:iCs w:val="false"/>
          <w:color w:val="1F1A16"/>
          <w:sz w:val="22"/>
          <w:szCs w:val="22"/>
        </w:rPr>
        <w:t xml:space="preserve">Risiko — koropleth komposit IRBI 2025, skala 1–10 (cap 250).</w:t>
      </w:r>
    </w:p>
    <w:p>
      <w:pPr>
        <w:spacing w:after="160" w:before="0" w:line="276"/>
      </w:pPr>
      <w:r>
        <w:rPr>
          <w:rFonts w:ascii="Calibri" w:cs="Calibri" w:eastAsia="Calibri" w:hAnsi="Calibri"/>
          <w:b w:val="false"/>
          <w:bCs w:val="false"/>
          <w:i w:val="false"/>
          <w:iCs w:val="false"/>
          <w:color w:val="1F1A16"/>
          <w:sz w:val="22"/>
          <w:szCs w:val="22"/>
        </w:rPr>
        <w:t xml:space="preserve">Pendidikan — 1–10 dari ln(1 + kapasitas). Kapasitas = jumlah skor prodi + pusat + kepakaran + spillover. Penduduk tidak dibagi pada skala ini; metrik per juta hanya tampil di panel.</w:t>
      </w:r>
    </w:p>
    <w:p>
      <w:pPr>
        <w:spacing w:after="160" w:before="0" w:line="276"/>
      </w:pPr>
      <w:r>
        <w:rPr>
          <w:rFonts w:ascii="Calibri" w:cs="Calibri" w:eastAsia="Calibri" w:hAnsi="Calibri"/>
          <w:b w:val="false"/>
          <w:bCs w:val="false"/>
          <w:i w:val="false"/>
          <w:iCs w:val="false"/>
          <w:color w:val="1F1A16"/>
          <w:sz w:val="22"/>
          <w:szCs w:val="22"/>
        </w:rPr>
        <w:t xml:space="preserve">Keselarasan — matriks 3×3 tertil risiko komposit × tertil pendidikan. Label: Senjang (risiko tinggi, pendidikan rendah), Selaras (keduanya tinggi), Berlebih (risiko rendah, pendidikan tinggi), Relevan (keduanya rendah), Menengah.</w:t>
      </w:r>
    </w:p>
    <w:p>
      <w:pPr>
        <w:spacing w:after="160" w:before="0" w:line="276"/>
      </w:pPr>
      <w:r>
        <w:rPr>
          <w:rFonts w:ascii="Calibri" w:cs="Calibri" w:eastAsia="Calibri" w:hAnsi="Calibri"/>
          <w:b w:val="false"/>
          <w:bCs w:val="false"/>
          <w:i w:val="false"/>
          <w:iCs w:val="false"/>
          <w:color w:val="1F1A16"/>
          <w:sz w:val="22"/>
          <w:szCs w:val="22"/>
        </w:rPr>
        <w:t xml:space="preserve">Historis — 1–10 dari ln(1 + total korban jiwa absolut) sejak 2000 pada katalog kurasi. Cap visual ln(1+5000). Bukan DIBI lengkap. Karhutla understated karena hanya korban langsung.</w:t>
      </w:r>
    </w:p>
    <w:p>
      <w:pPr>
        <w:spacing w:after="160" w:before="0" w:line="276"/>
      </w:pPr>
      <w:r>
        <w:rPr>
          <w:rFonts w:ascii="Calibri" w:cs="Calibri" w:eastAsia="Calibri" w:hAnsi="Calibri"/>
          <w:b w:val="false"/>
          <w:bCs w:val="false"/>
          <w:i w:val="false"/>
          <w:iCs w:val="false"/>
          <w:color w:val="1F1A16"/>
          <w:sz w:val="22"/>
          <w:szCs w:val="22"/>
        </w:rPr>
        <w:t xml:space="preserve">Pusat — massa pusat studi + kepakaran di provinsi itu, tanpa prodi dan tanpa spillover.</w:t>
      </w:r>
    </w:p>
    <w:p>
      <w:pPr>
        <w:spacing w:after="160" w:before="0" w:line="276"/>
      </w:pPr>
      <w:r>
        <w:rPr>
          <w:rFonts w:ascii="Calibri" w:cs="Calibri" w:eastAsia="Calibri" w:hAnsi="Calibri"/>
          <w:b w:val="false"/>
          <w:bCs w:val="false"/>
          <w:i w:val="false"/>
          <w:iCs w:val="false"/>
          <w:color w:val="1F1A16"/>
          <w:sz w:val="22"/>
          <w:szCs w:val="22"/>
        </w:rPr>
        <w:t xml:space="preserve">Respons — 3×3 historis × pusat: responsif, antisipatif, tidak melembaga, belum terespons, menengah.</w:t>
      </w:r>
    </w:p>
    <w:p>
      <w:pPr>
        <w:pStyle w:val="Heading1"/>
        <w:spacing w:after="140" w:before="280"/>
      </w:pPr>
      <w:r>
        <w:rPr>
          <w:rFonts w:ascii="Calibri" w:cs="Calibri" w:eastAsia="Calibri" w:hAnsi="Calibri"/>
          <w:b/>
          <w:bCs/>
          <w:color w:val="1F1A16"/>
        </w:rPr>
        <w:t xml:space="preserve">3. Skor prodi</w:t>
      </w:r>
    </w:p>
    <w:p>
      <w:pPr>
        <w:spacing w:after="160" w:before="0" w:line="276"/>
      </w:pPr>
      <w:r>
        <w:rPr>
          <w:rFonts w:ascii="Calibri" w:cs="Calibri" w:eastAsia="Calibri" w:hAnsi="Calibri"/>
          <w:b w:val="false"/>
          <w:bCs w:val="false"/>
          <w:i w:val="false"/>
          <w:iCs w:val="false"/>
          <w:color w:val="1F1A16"/>
          <w:sz w:val="22"/>
          <w:szCs w:val="22"/>
        </w:rPr>
        <w:t xml:space="preserve">Skor = bobot disiplin × bobot jenjang × bobot akreditasi. Nol di salah satu faktor meniadakan baris.</w:t>
      </w:r>
    </w:p>
    <w:p>
      <w:pPr>
        <w:spacing w:after="160" w:before="0" w:line="276"/>
      </w:pPr>
      <w:r>
        <w:rPr>
          <w:rFonts w:ascii="Calibri" w:cs="Calibri" w:eastAsia="Calibri" w:hAnsi="Calibri"/>
          <w:b w:val="false"/>
          <w:bCs w:val="false"/>
          <w:i w:val="false"/>
          <w:iCs w:val="false"/>
          <w:color w:val="1F1A16"/>
          <w:sz w:val="22"/>
          <w:szCs w:val="22"/>
        </w:rPr>
        <w:t xml:space="preserve">IABEE General atau Provisional dipetakan ke Internasional. Tidak ditumpuk di atas Unggul.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tblGrid>
      <w:tr>
        <w:tc>
          <w:tcPr>
            <w:tcW w:type="dxa" w:w="48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Jenjang</w:t>
            </w:r>
          </w:p>
        </w:tc>
        <w:tc>
          <w:tcPr>
            <w:tcW w:type="dxa" w:w="24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Default</w:t>
            </w:r>
          </w:p>
        </w:tc>
      </w:tr>
      <w:tr>
        <w:tc>
          <w:tcPr>
            <w:tcW w:type="dxa" w:w="4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S1 dan D4</w:t>
            </w:r>
          </w:p>
        </w:tc>
        <w:tc>
          <w:tcPr>
            <w:tcW w:type="dxa" w:w="2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1,00</w:t>
            </w:r>
          </w:p>
        </w:tc>
      </w:tr>
      <w:tr>
        <w:tc>
          <w:tcPr>
            <w:tcW w:type="dxa" w:w="4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S2</w:t>
            </w:r>
          </w:p>
        </w:tc>
        <w:tc>
          <w:tcPr>
            <w:tcW w:type="dxa" w:w="2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1,00</w:t>
            </w:r>
          </w:p>
        </w:tc>
      </w:tr>
      <w:tr>
        <w:tc>
          <w:tcPr>
            <w:tcW w:type="dxa" w:w="4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S3</w:t>
            </w:r>
          </w:p>
        </w:tc>
        <w:tc>
          <w:tcPr>
            <w:tcW w:type="dxa" w:w="2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1,00</w:t>
            </w:r>
          </w:p>
        </w:tc>
      </w:tr>
    </w:tbl>
    <w:p>
      <w:pPr>
        <w:spacing w:after="160"/>
      </w:pP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tblGrid>
      <w:tr>
        <w:tc>
          <w:tcPr>
            <w:tcW w:type="dxa" w:w="48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Peringkat prodi</w:t>
            </w:r>
          </w:p>
        </w:tc>
        <w:tc>
          <w:tcPr>
            <w:tcW w:type="dxa" w:w="24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Default</w:t>
            </w:r>
          </w:p>
        </w:tc>
      </w:tr>
      <w:tr>
        <w:tc>
          <w:tcPr>
            <w:tcW w:type="dxa" w:w="4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Internasional (IABEE)</w:t>
            </w:r>
          </w:p>
        </w:tc>
        <w:tc>
          <w:tcPr>
            <w:tcW w:type="dxa" w:w="2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1,00</w:t>
            </w:r>
          </w:p>
        </w:tc>
      </w:tr>
      <w:tr>
        <w:tc>
          <w:tcPr>
            <w:tcW w:type="dxa" w:w="4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Unggul atau A</w:t>
            </w:r>
          </w:p>
        </w:tc>
        <w:tc>
          <w:tcPr>
            <w:tcW w:type="dxa" w:w="2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0,90</w:t>
            </w:r>
          </w:p>
        </w:tc>
      </w:tr>
      <w:tr>
        <w:tc>
          <w:tcPr>
            <w:tcW w:type="dxa" w:w="4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Baik Sekali atau B</w:t>
            </w:r>
          </w:p>
        </w:tc>
        <w:tc>
          <w:tcPr>
            <w:tcW w:type="dxa" w:w="2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0,80</w:t>
            </w:r>
          </w:p>
        </w:tc>
      </w:tr>
      <w:tr>
        <w:tc>
          <w:tcPr>
            <w:tcW w:type="dxa" w:w="4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Baik, C, atau terakreditasi lain</w:t>
            </w:r>
          </w:p>
        </w:tc>
        <w:tc>
          <w:tcPr>
            <w:tcW w:type="dxa" w:w="2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r>
    </w:tbl>
    <w:p>
      <w:pPr>
        <w:pStyle w:val="Heading1"/>
        <w:spacing w:after="140" w:before="280"/>
      </w:pPr>
      <w:r>
        <w:rPr>
          <w:rFonts w:ascii="Calibri" w:cs="Calibri" w:eastAsia="Calibri" w:hAnsi="Calibri"/>
          <w:b/>
          <w:bCs/>
          <w:color w:val="1F1A16"/>
        </w:rPr>
        <w:t xml:space="preserve">4. Bobot disiplin × bahaya</w:t>
      </w:r>
    </w:p>
    <w:p>
      <w:pPr>
        <w:spacing w:after="160" w:before="0" w:line="276"/>
      </w:pPr>
      <w:r>
        <w:rPr>
          <w:rFonts w:ascii="Calibri" w:cs="Calibri" w:eastAsia="Calibri" w:hAnsi="Calibri"/>
          <w:b w:val="false"/>
          <w:bCs w:val="false"/>
          <w:i w:val="false"/>
          <w:iCs w:val="false"/>
          <w:color w:val="1F1A16"/>
          <w:sz w:val="22"/>
          <w:szCs w:val="22"/>
        </w:rPr>
        <w:t xml:space="preserve">Prior 0–1, berganti saat filter bahaya dipilih, lalu dapat digeser di panel. Ini prior kerja (bukan regresi). Sipil tinggi pada gempa dan likuefaksi; planologi pada tsunami dan banjir; geologi pada longsor dan gunung api; kelautan pada tsunami.</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700"/>
        <w:gridCol w:w="700"/>
        <w:gridCol w:w="800"/>
        <w:gridCol w:w="800"/>
        <w:gridCol w:w="700"/>
        <w:gridCol w:w="800"/>
        <w:gridCol w:w="800"/>
      </w:tblGrid>
      <w:tr>
        <w:tc>
          <w:tcPr>
            <w:tcW w:type="dxa" w:w="14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Bahaya</w:t>
            </w:r>
          </w:p>
        </w:tc>
        <w:tc>
          <w:tcPr>
            <w:tcW w:type="dxa" w:w="8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Sipil</w:t>
            </w:r>
          </w:p>
        </w:tc>
        <w:tc>
          <w:tcPr>
            <w:tcW w:type="dxa" w:w="7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Ars.</w:t>
            </w:r>
          </w:p>
        </w:tc>
        <w:tc>
          <w:tcPr>
            <w:tcW w:type="dxa" w:w="7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PWK</w:t>
            </w:r>
          </w:p>
        </w:tc>
        <w:tc>
          <w:tcPr>
            <w:tcW w:type="dxa" w:w="8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Geol.</w:t>
            </w:r>
          </w:p>
        </w:tc>
        <w:tc>
          <w:tcPr>
            <w:tcW w:type="dxa" w:w="8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Lingk.</w:t>
            </w:r>
          </w:p>
        </w:tc>
        <w:tc>
          <w:tcPr>
            <w:tcW w:type="dxa" w:w="7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Kel.</w:t>
            </w:r>
          </w:p>
        </w:tc>
        <w:tc>
          <w:tcPr>
            <w:tcW w:type="dxa" w:w="8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Benc.</w:t>
            </w:r>
          </w:p>
        </w:tc>
        <w:tc>
          <w:tcPr>
            <w:tcW w:type="dxa" w:w="8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Multi</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Gempabumi</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1,00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0,55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Tsunami</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0,35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0,65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0,75</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Banjir</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0,30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0,35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0,35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0,80</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Longsor</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0,55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0,15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Likuefaksi</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1,00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0,35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0,15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0,55</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Gunung api</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0,55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0,30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0,50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0,95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0,10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Karhutla</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0,15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0,05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0,75</w:t>
            </w:r>
          </w:p>
        </w:tc>
      </w:tr>
      <w:tr>
        <w:tc>
          <w:tcPr>
            <w:tcW w:type="dxa" w:w="14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Komposit</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0,40</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0,55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0,45</w:t>
            </w:r>
          </w:p>
        </w:tc>
        <w:tc>
          <w:tcPr>
            <w:tcW w:type="dxa" w:w="7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0,40</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0,85</w:t>
            </w:r>
          </w:p>
        </w:tc>
        <w:tc>
          <w:tcPr>
            <w:tcW w:type="dxa" w:w="8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0,80</w:t>
            </w:r>
          </w:p>
        </w:tc>
      </w:tr>
    </w:tbl>
    <w:p>
      <w:pPr>
        <w:pStyle w:val="Heading1"/>
        <w:spacing w:after="140" w:before="280"/>
      </w:pPr>
      <w:r>
        <w:rPr>
          <w:rFonts w:ascii="Calibri" w:cs="Calibri" w:eastAsia="Calibri" w:hAnsi="Calibri"/>
          <w:b/>
          <w:bCs/>
          <w:color w:val="1F1A16"/>
        </w:rPr>
        <w:t xml:space="preserve">5. Pusat studi dan kepakaran</w:t>
      </w:r>
    </w:p>
    <w:p>
      <w:pPr>
        <w:spacing w:after="160" w:before="0" w:line="276"/>
      </w:pPr>
      <w:r>
        <w:rPr>
          <w:rFonts w:ascii="Calibri" w:cs="Calibri" w:eastAsia="Calibri" w:hAnsi="Calibri"/>
          <w:b w:val="false"/>
          <w:bCs w:val="false"/>
          <w:i w:val="false"/>
          <w:iCs w:val="false"/>
          <w:color w:val="1F1A16"/>
          <w:sz w:val="22"/>
          <w:szCs w:val="22"/>
        </w:rPr>
        <w:t xml:space="preserve">Penelitian: bobot pusat × kematangan (anchor 1,35 / PUI 1,20 / standard 1,00) × jejaring nasional 1,20 bila ya × kecocokan bahaya (1,00 jika komposit atau bahaya pusat cocok; 0,20 jika tidak).</w:t>
      </w:r>
    </w:p>
    <w:p>
      <w:pPr>
        <w:spacing w:after="160" w:before="0" w:line="276"/>
      </w:pPr>
      <w:r>
        <w:rPr>
          <w:rFonts w:ascii="Calibri" w:cs="Calibri" w:eastAsia="Calibri" w:hAnsi="Calibri"/>
          <w:b w:val="false"/>
          <w:bCs w:val="false"/>
          <w:i w:val="false"/>
          <w:iCs w:val="false"/>
          <w:color w:val="1F1A16"/>
          <w:sz w:val="22"/>
          <w:szCs w:val="22"/>
        </w:rPr>
        <w:t xml:space="preserve">Kepakaran: bobot kepakaran × bendera PkM pada baris pusat yang sama. Lembar 04 (aktivitas layanan: workshop, satu dokumen RPB, drone) ditunda karena unit hitungnya mudah menggelembung dan sulit dibanding antarprovinsi. Enam baris 04 yang sudah terkumpul tetap di Excel sebagai arsip, tidak masuk mesin skor.</w:t>
      </w:r>
    </w:p>
    <w:p>
      <w:pPr>
        <w:pStyle w:val="Heading1"/>
        <w:spacing w:after="140" w:before="280"/>
      </w:pPr>
      <w:r>
        <w:rPr>
          <w:rFonts w:ascii="Calibri" w:cs="Calibri" w:eastAsia="Calibri" w:hAnsi="Calibri"/>
          <w:b/>
          <w:bCs/>
          <w:color w:val="1F1A16"/>
        </w:rPr>
        <w:t xml:space="preserve">6. Spillover</w:t>
      </w:r>
    </w:p>
    <w:p>
      <w:pPr>
        <w:spacing w:after="160" w:before="0" w:line="276"/>
      </w:pPr>
      <w:r>
        <w:rPr>
          <w:rFonts w:ascii="Calibri" w:cs="Calibri" w:eastAsia="Calibri" w:hAnsi="Calibri"/>
          <w:b w:val="false"/>
          <w:bCs w:val="false"/>
          <w:i w:val="false"/>
          <w:iCs w:val="false"/>
          <w:color w:val="1F1A16"/>
          <w:sz w:val="22"/>
          <w:szCs w:val="22"/>
        </w:rPr>
        <w:t xml:space="preserve">Mengikuti akreditasi institusi, bukan prodi. Kolam dipancarkan lalu dibagi rata ke penerima — tidak digandakan.</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2000"/>
      </w:tblGrid>
      <w:tr>
        <w:tc>
          <w:tcPr>
            <w:tcW w:type="dxa" w:w="42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Akreditasi PT</w:t>
            </w:r>
          </w:p>
        </w:tc>
        <w:tc>
          <w:tcPr>
            <w:tcW w:type="dxa" w:w="20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Sepulau</w:t>
            </w:r>
          </w:p>
        </w:tc>
        <w:tc>
          <w:tcPr>
            <w:tcW w:type="dxa" w:w="20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Nasional</w:t>
            </w:r>
          </w:p>
        </w:tc>
      </w:tr>
      <w:tr>
        <w:tc>
          <w:tcPr>
            <w:tcW w:type="dxa" w:w="4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Internasional (ITB, UI, UGM, ITS)</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12%</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6%</w:t>
            </w:r>
          </w:p>
        </w:tc>
      </w:tr>
      <w:tr>
        <w:tc>
          <w:tcPr>
            <w:tcW w:type="dxa" w:w="4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Unggul</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8%</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3%</w:t>
            </w:r>
          </w:p>
        </w:tc>
      </w:tr>
      <w:tr>
        <w:tc>
          <w:tcPr>
            <w:tcW w:type="dxa" w:w="4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Baik Sekali</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4%</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w:t>
            </w:r>
          </w:p>
        </w:tc>
      </w:tr>
      <w:tr>
        <w:tc>
          <w:tcPr>
            <w:tcW w:type="dxa" w:w="4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Baik atau di bawahnya</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w:t>
            </w:r>
          </w:p>
        </w:tc>
        <w:tc>
          <w:tcPr>
            <w:tcW w:type="dxa" w:w="20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w:t>
            </w:r>
          </w:p>
        </w:tc>
      </w:tr>
    </w:tbl>
    <w:p>
      <w:pPr>
        <w:pStyle w:val="Heading1"/>
        <w:spacing w:after="140" w:before="280"/>
      </w:pPr>
      <w:r>
        <w:rPr>
          <w:rFonts w:ascii="Calibri" w:cs="Calibri" w:eastAsia="Calibri" w:hAnsi="Calibri"/>
          <w:b/>
          <w:bCs/>
          <w:color w:val="1F1A16"/>
        </w:rPr>
        <w:t xml:space="preserve">7. Tertil, senjang, dan historis</w:t>
      </w:r>
    </w:p>
    <w:p>
      <w:pPr>
        <w:spacing w:after="160" w:before="0" w:line="276"/>
      </w:pPr>
      <w:r>
        <w:rPr>
          <w:rFonts w:ascii="Calibri" w:cs="Calibri" w:eastAsia="Calibri" w:hAnsi="Calibri"/>
          <w:b w:val="false"/>
          <w:bCs w:val="false"/>
          <w:i w:val="false"/>
          <w:iCs w:val="false"/>
          <w:color w:val="1F1A16"/>
          <w:sz w:val="22"/>
          <w:szCs w:val="22"/>
        </w:rPr>
        <w:t xml:space="preserve">Tertil 33% / 67% dihitung di antara 38 provinsi setiap kali skor dihitung ulang. Senjang = risiko ternormalisasi − pendidikan ternormalisasi (masing-masing 0–1 dari min–maks 38 provinsi). Historis menjumlah korban jiwa peristiwa yang provinsinya cocok dan — jika filter bukan komposit — bahayanya cocok.</w:t>
      </w:r>
    </w:p>
    <w:p>
      <w:pPr>
        <w:pStyle w:val="Heading1"/>
        <w:spacing w:after="140" w:before="280"/>
      </w:pPr>
      <w:r>
        <w:rPr>
          <w:rFonts w:ascii="Calibri" w:cs="Calibri" w:eastAsia="Calibri" w:hAnsi="Calibri"/>
          <w:b/>
          <w:bCs/>
          <w:color w:val="1F1A16"/>
        </w:rPr>
        <w:t xml:space="preserve">8. Isi basis 28 Agustus 2026</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c>
          <w:tcPr>
            <w:tcW w:type="dxa" w:w="220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Lembar</w:t>
            </w:r>
          </w:p>
        </w:tc>
        <w:tc>
          <w:tcPr>
            <w:tcW w:type="dxa" w:w="7440"/>
            <w:tcBorders>
              <w:top w:val="single" w:color="D4CFC5" w:sz="4"/>
              <w:left w:val="single" w:color="D4CFC5" w:sz="4"/>
              <w:bottom w:val="single" w:color="D4CFC5" w:sz="4"/>
              <w:right w:val="single" w:color="D4CFC5" w:sz="4"/>
            </w:tcBorders>
            <w:shd w:fill="1B4F5C" w:val="clear"/>
            <w:tcMar>
              <w:top w:type="dxa" w:w="60"/>
              <w:left w:type="dxa" w:w="80"/>
              <w:bottom w:type="dxa" w:w="60"/>
              <w:right w:type="dxa" w:w="80"/>
            </w:tcMar>
          </w:tcPr>
          <w:p>
            <w:r>
              <w:rPr>
                <w:rFonts w:ascii="Calibri" w:cs="Calibri" w:eastAsia="Calibri" w:hAnsi="Calibri"/>
                <w:b/>
                <w:bCs/>
                <w:color w:val="FFFFFF"/>
                <w:sz w:val="18"/>
                <w:szCs w:val="18"/>
              </w:rPr>
              <w:t xml:space="preserve">Isi</w:t>
            </w:r>
          </w:p>
        </w:tc>
      </w:tr>
      <w:tr>
        <w:tc>
          <w:tcPr>
            <w:tcW w:type="dxa" w:w="2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01 Prodi</w:t>
            </w:r>
          </w:p>
        </w:tc>
        <w:tc>
          <w:tcPr>
            <w:tcW w:type="dxa" w:w="744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204 baris (139 S1, 58 S2, 6 S3, 1 D4). IABEE general 22, provisional 1.</w:t>
            </w:r>
          </w:p>
        </w:tc>
      </w:tr>
      <w:tr>
        <w:tc>
          <w:tcPr>
            <w:tcW w:type="dxa" w:w="2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02 PT</w:t>
            </w:r>
          </w:p>
        </w:tc>
        <w:tc>
          <w:tcPr>
            <w:tcW w:type="dxa" w:w="744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102 institusi; 8 PT baru belum ada akreditasi institusi.</w:t>
            </w:r>
          </w:p>
        </w:tc>
      </w:tr>
      <w:tr>
        <w:tc>
          <w:tcPr>
            <w:tcW w:type="dxa" w:w="2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03 Pusat</w:t>
            </w:r>
          </w:p>
        </w:tc>
        <w:tc>
          <w:tcPr>
            <w:tcW w:type="dxa" w:w="744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17 unit bernama. Lubang disengaja di Papua (sebagai pusat), NTT, Malut, sebagian Kalimantan.</w:t>
            </w:r>
          </w:p>
        </w:tc>
      </w:tr>
      <w:tr>
        <w:tc>
          <w:tcPr>
            <w:tcW w:type="dxa" w:w="2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04 Layanan</w:t>
            </w:r>
          </w:p>
        </w:tc>
        <w:tc>
          <w:tcPr>
            <w:tcW w:type="dxa" w:w="744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Ditunda. 6 baris arsip, tidak masuk skor.</w:t>
            </w:r>
          </w:p>
        </w:tc>
      </w:tr>
      <w:tr>
        <w:tc>
          <w:tcPr>
            <w:tcW w:type="dxa" w:w="2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05 Risiko</w:t>
            </w:r>
          </w:p>
        </w:tc>
        <w:tc>
          <w:tcPr>
            <w:tcW w:type="dxa" w:w="744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38 komposit IRBI 2025. Per-bahaya tidak dipakai peta.</w:t>
            </w:r>
          </w:p>
        </w:tc>
      </w:tr>
      <w:tr>
        <w:tc>
          <w:tcPr>
            <w:tcW w:type="dxa" w:w="2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06 Historis</w:t>
            </w:r>
          </w:p>
        </w:tc>
        <w:tc>
          <w:tcPr>
            <w:tcW w:type="dxa" w:w="744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50 peristiwa dengan korban jiwa (termasuk Flores 2026, banjir Sumatera 2025, Pasaman 2022).</w:t>
            </w:r>
          </w:p>
        </w:tc>
      </w:tr>
      <w:tr>
        <w:tc>
          <w:tcPr>
            <w:tcW w:type="dxa" w:w="220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07 Celah</w:t>
            </w:r>
          </w:p>
        </w:tc>
        <w:tc>
          <w:tcPr>
            <w:tcW w:type="dxa" w:w="7440"/>
            <w:tcBorders>
              <w:top w:val="single" w:color="D4CFC5" w:sz="4"/>
              <w:left w:val="single" w:color="D4CFC5" w:sz="4"/>
              <w:bottom w:val="single" w:color="D4CFC5" w:sz="4"/>
              <w:right w:val="single" w:color="D4CFC5" w:sz="4"/>
            </w:tcBorders>
            <w:shd w:fill="F7F1E8" w:val="clear"/>
            <w:tcMar>
              <w:top w:type="dxa" w:w="60"/>
              <w:left w:type="dxa" w:w="80"/>
              <w:bottom w:type="dxa" w:w="60"/>
              <w:right w:type="dxa" w:w="80"/>
            </w:tcMar>
          </w:tcPr>
          <w:p>
            <w:r>
              <w:rPr>
                <w:rFonts w:ascii="Calibri" w:cs="Calibri" w:eastAsia="Calibri" w:hAnsi="Calibri"/>
                <w:b w:val="false"/>
                <w:bCs w:val="false"/>
                <w:color w:val="1F1A16"/>
                <w:sz w:val="18"/>
                <w:szCs w:val="18"/>
              </w:rPr>
              <w:t xml:space="preserve">Dihitung ulang dari 01+03: PBD / Papua Tengah / Pegunungan tetap 0/0.</w:t>
            </w:r>
          </w:p>
        </w:tc>
      </w:tr>
    </w:tbl>
    <w:p>
      <w:pPr>
        <w:pStyle w:val="Heading1"/>
        <w:spacing w:after="140" w:before="280"/>
      </w:pPr>
      <w:r>
        <w:rPr>
          <w:rFonts w:ascii="Calibri" w:cs="Calibri" w:eastAsia="Calibri" w:hAnsi="Calibri"/>
          <w:b/>
          <w:bCs/>
          <w:color w:val="1F1A16"/>
        </w:rPr>
        <w:t xml:space="preserve">9. Sumber</w:t>
      </w:r>
    </w:p>
    <w:p>
      <w:pPr>
        <w:spacing w:after="160" w:before="0" w:line="276"/>
      </w:pPr>
      <w:r>
        <w:rPr>
          <w:rFonts w:ascii="Calibri" w:cs="Calibri" w:eastAsia="Calibri" w:hAnsi="Calibri"/>
          <w:b w:val="false"/>
          <w:bCs w:val="false"/>
          <w:i w:val="false"/>
          <w:iCs w:val="false"/>
          <w:color w:val="1F1A16"/>
          <w:sz w:val="22"/>
          <w:szCs w:val="22"/>
        </w:rPr>
        <w:t xml:space="preserve">IRBI 2025 BNPB, buku InaRISK (komposit provinsi). SAKTI LAM Teknik untuk sipil/lingkungan/geologi/kelautan. BAN-PT untuk ilmu lingkungan, PWK, kebencanaan. IABEE evaluation.iabee.or.id (Washington Accord, S1). Laman LPPM / pusat studi untuk 17 pusat. BNPB, EM-DAT, dan berita resmi institusi untuk historis.</w:t>
      </w:r>
    </w:p>
    <w:p>
      <w:pPr>
        <w:pStyle w:val="Heading1"/>
        <w:spacing w:after="140" w:before="280"/>
      </w:pPr>
      <w:r>
        <w:rPr>
          <w:rFonts w:ascii="Calibri" w:cs="Calibri" w:eastAsia="Calibri" w:hAnsi="Calibri"/>
          <w:b/>
          <w:bCs/>
          <w:color w:val="1F1A16"/>
        </w:rPr>
        <w:t xml:space="preserve">10. Yang tidak diklaim</w:t>
      </w:r>
    </w:p>
    <w:p>
      <w:pPr>
        <w:spacing w:after="160" w:before="0" w:line="276"/>
      </w:pPr>
      <w:r>
        <w:rPr>
          <w:rFonts w:ascii="Calibri" w:cs="Calibri" w:eastAsia="Calibri" w:hAnsi="Calibri"/>
          <w:b w:val="false"/>
          <w:bCs w:val="false"/>
          <w:i w:val="false"/>
          <w:iCs w:val="false"/>
          <w:color w:val="1F1A16"/>
          <w:sz w:val="22"/>
          <w:szCs w:val="22"/>
        </w:rPr>
        <w:t xml:space="preserve">Bukan direktori nasional lengkap. Bukan DIBI. Bukan salinan sel-per-sel IRBI per ancaman. Bukan pengukuran kesiapsiagaan daerah. Matriks bobot dapat digeser di peta; angka default adalah prior, bukan hasil kalibrasi statistik. Pemutakhiran masih manual lewat template Excel.</w:t>
      </w:r>
    </w:p>
    <w:p>
      <w:pPr>
        <w:spacing w:after="160" w:before="0" w:line="276"/>
      </w:pPr>
      <w:r>
        <w:rPr>
          <w:rFonts w:ascii="Calibri" w:cs="Calibri" w:eastAsia="Calibri" w:hAnsi="Calibri"/>
          <w:b w:val="false"/>
          <w:bCs w:val="false"/>
          <w:i/>
          <w:iCs/>
          <w:color w:val="1F1A16"/>
          <w:sz w:val="22"/>
          <w:szCs w:val="22"/>
        </w:rPr>
        <w:t xml:space="preserve">Proyek terkait P2MI Multidisiplin FTSL ITB 2026 — Mainstreaming Disaster Resiliency in Infrastructure Systems.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64E"/>
        <w:sz w:val="16"/>
        <w:szCs w:val="16"/>
      </w:rPr>
      <w:t xml:space="preserve">P2MI FTSL ITB  ·  </w:t>
    </w:r>
    <w:r>
      <w:rPr>
        <w:rFonts w:ascii="Calibri" w:cs="Calibri" w:eastAsia="Calibri" w:hAnsi="Calibri"/>
        <w:color w:val="5C56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Calibri" w:cs="Calibri" w:eastAsia="Calibri" w:hAnsi="Calibri"/>
        <w:b w:val="false"/>
        <w:bCs w:val="false"/>
        <w:i w:val="false"/>
        <w:iCs w:val="false"/>
        <w:color w:val="5C564E"/>
        <w:sz w:val="16"/>
        <w:szCs w:val="16"/>
      </w:rPr>
      <w:t xml:space="preserve">Metodologi PKPRB · 28 Agustus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1A16"/>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1B4F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2026-08-28T01:43:51.350Z</dcterms:created>
  <dcterms:modified xsi:type="dcterms:W3CDTF">2026-08-28T01:43:51.350Z</dcterms:modified>
</cp:coreProperties>
</file>

<file path=docProps/custom.xml><?xml version="1.0" encoding="utf-8"?>
<Properties xmlns="http://schemas.openxmlformats.org/officeDocument/2006/custom-properties" xmlns:vt="http://schemas.openxmlformats.org/officeDocument/2006/docPropsVTypes"/>
</file>