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Calibri" w:hAnsi="Calibri" w:eastAsia="Calibri"/>
          <w:b/>
          <w:i w:val="0"/>
          <w:color w:val="3D7F92"/>
          <w:sz w:val="18"/>
        </w:rPr>
        <w:t>PROTOTIPE  ·  20 AGUSTUS 2026  ·  P2MI MULTIDISIPLIN FTSL ITB</w:t>
      </w:r>
    </w:p>
    <w:p>
      <w:pPr>
        <w:spacing w:after="80" w:before="0" w:line="276" w:lineRule="auto"/>
      </w:pPr>
      <w:r>
        <w:rPr>
          <w:rFonts w:ascii="Cambria" w:hAnsi="Cambria" w:eastAsia="Cambria"/>
          <w:b/>
          <w:i w:val="0"/>
          <w:color w:val="1F1A16"/>
          <w:sz w:val="52"/>
        </w:rPr>
        <w:t>Metodologi PKPRB</w:t>
      </w:r>
    </w:p>
    <w:p>
      <w:pPr>
        <w:spacing w:after="240" w:before="0" w:line="276" w:lineRule="auto"/>
      </w:pPr>
      <w:r>
        <w:rPr>
          <w:rFonts w:ascii="Cambria" w:hAnsi="Cambria" w:eastAsia="Cambria"/>
          <w:b w:val="0"/>
          <w:i/>
          <w:color w:val="6B6358"/>
          <w:sz w:val="28"/>
        </w:rPr>
        <w:t>Peta Keselarasan Pendidikan dan Risiko Bencana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Dokumen ini menjelaskan rumus yang benar-benar dijalankan peta, supaya tim dapat meninjau asumsi, bobot, dan celah data. Versi web yang sama: https://pkprb.vercel.app/metodologi — peta: https://pkprb.vercel.app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8D9D0" w:val="clear"/>
            <w:tcBorders>
              <w:top w:val="single" w:sz="4" w:space="0" w:color="C45C48"/>
              <w:left w:val="single" w:sz="4" w:space="0" w:color="C45C48"/>
              <w:bottom w:val="single" w:sz="4" w:space="0" w:color="C45C48"/>
              <w:right w:val="single" w:sz="4" w:space="0" w:color="C45C48"/>
            </w:tcBorders>
          </w:tcPr>
          <w:p>
            <w:pPr>
              <w:spacing w:after="8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1F1A16"/>
                <w:sz w:val="22"/>
              </w:rPr>
              <w:t>Bukan peta kesiapan atau ketangguhan daerah.</w:t>
            </w:r>
          </w:p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20"/>
              </w:rPr>
              <w:t>PKPRB memetakan keselarasan antara profil risiko dan dukungan pendidikan tinggi (prodi, penelitian, pengabdian). Tidak mengukur BPBD, SNI, stok insinyur, atau mutu lulusan di lapangan.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Masukan yang kami butuhkan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Silakan uji peta lalu komentari butir berikut. Geser sliders: peta dan rumus ini sama.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Matriks bobot disiplin × bahaya (prior Delphi). Apakah sipil harus 1,00 di gempa? Apakah Planologi 0,40 terlalu rendah?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Jenjang S1/S2/S3 default semua 1,00. Perlukah S2/S3 lebih tinggi?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IABEE dipetakan ke akreditasi Internasional, bukan bonus di atas Unggul. Setuju?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Hanya ITB, UI, UGM, ITS yang disebut PT internasional untuk spillover. Tambah IPB, Unpad, Unhas, atau lainnya?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Besaran spillover 12 / 8 / 4% sepulau dan 6 / 3% antar-pulau. Terlalu besar, terlalu kecil, atau arahnya salah?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Skala warna mutlak: risiko 0–100 (komposit 0–200), pendidikan 0–15 per juta. Cap 15 terlalu ketat?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Inventaris Planologi, geologi, arsitektur, lingkungan, kelautan, multidisiplin masih kurasi awal — bukan direktori BAN-PT lengkap.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Label kuadran: Senjang, Selaras, Berlebih, Relevan.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Cara membaca peta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/>
          <w:i w:val="0"/>
          <w:color w:val="1F1A16"/>
          <w:sz w:val="22"/>
        </w:rPr>
        <w:t>Pendidikan</w:t>
      </w:r>
      <w:r>
        <w:rPr>
          <w:rFonts w:ascii="Calibri" w:hAnsi="Calibri" w:eastAsia="Calibri"/>
          <w:b w:val="0"/>
          <w:i w:val="0"/>
          <w:color w:val="1F1A16"/>
          <w:sz w:val="22"/>
        </w:rPr>
        <w:t xml:space="preserve"> — indeks per juta penduduk (IDPKI), skala warna mutlak 0–15.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/>
          <w:i w:val="0"/>
          <w:color w:val="1F1A16"/>
          <w:sz w:val="22"/>
        </w:rPr>
        <w:t>Risiko</w:t>
      </w:r>
      <w:r>
        <w:rPr>
          <w:rFonts w:ascii="Calibri" w:hAnsi="Calibri" w:eastAsia="Calibri"/>
          <w:b w:val="0"/>
          <w:i w:val="0"/>
          <w:color w:val="1F1A16"/>
          <w:sz w:val="22"/>
        </w:rPr>
        <w:t xml:space="preserve"> — komposit bergaya IRBI atau satu jenis bahaya. Skala mutlak 0–100 (0–200 untuk komposit).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/>
          <w:i w:val="0"/>
          <w:color w:val="1F1A16"/>
          <w:sz w:val="22"/>
        </w:rPr>
        <w:t>Keselarasan</w:t>
      </w:r>
      <w:r>
        <w:rPr>
          <w:rFonts w:ascii="Calibri" w:hAnsi="Calibri" w:eastAsia="Calibri"/>
          <w:b w:val="0"/>
          <w:i w:val="0"/>
          <w:color w:val="1F1A16"/>
          <w:sz w:val="22"/>
        </w:rPr>
        <w:t xml:space="preserve"> — matriks 3×3 tertil risiko × tertil pendidikan di antara 38 provinsi. Ini satu-satunya tampilan yang memang relatif antarprovinsi.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1. Skor prodi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Tidak ada toggle. Bobot 0 = tidak dihitung. Setiap program studi: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E_prodi = w(disiplin, bahaya)  ×  w(jenjang)  ×  w(akreditasi_prodi)</w:t>
            </w:r>
          </w:p>
        </w:tc>
      </w:tr>
    </w:tbl>
    <w:p/>
    <w:p>
      <w:pPr>
        <w:pStyle w:val="Heading2"/>
        <w:spacing w:after="160" w:before="240" w:line="276" w:lineRule="auto"/>
      </w:pPr>
      <w:r>
        <w:rPr>
          <w:rFonts w:ascii="Cambria" w:hAnsi="Cambria" w:eastAsia="Cambria"/>
          <w:color w:val="1F1A16"/>
        </w:rPr>
        <w:t>Jenjang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Default sementara sama, agar perbedaan antar-disiplin mudah dibaca. D4 memakai bobot S1.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Jenjang</w:t>
            </w:r>
          </w:p>
        </w:tc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Default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S1 (dan D4)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S2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S3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</w:tbl>
    <w:p/>
    <w:p>
      <w:pPr>
        <w:pStyle w:val="Heading2"/>
        <w:spacing w:after="160" w:before="240" w:line="276" w:lineRule="auto"/>
      </w:pPr>
      <w:r>
        <w:rPr>
          <w:rFonts w:ascii="Cambria" w:hAnsi="Cambria" w:eastAsia="Cambria"/>
          <w:color w:val="1F1A16"/>
        </w:rPr>
        <w:t>Akreditasi prodi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IABEE General atau Provisional → Internasional. Tidak ditumpuk di atas Unggul.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Peringkat prodi</w:t>
            </w:r>
          </w:p>
        </w:tc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Default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Internasional (IABEE)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Unggul atau A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Baik Sekali atau B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Baik, C, atau terakreditasi lain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2. Bobot disiplin × bahaya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Prior 0–1, berganti otomatis saat jenis bahaya dipilih, lalu dapat digeser. Sipil tinggi pada gempa dan likuefaksi; Planologi pada tsunami dan banjir; geologi pada longsor dan gunung api; kelautan pada tsunami.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Bahaya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Teknik Sipil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Arsitektur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Planologi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Teknik Geologi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Teknik Lingkungan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Teknik Kelautan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Kebencanaan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Multidisiplin</w:t>
            </w:r>
          </w:p>
        </w:tc>
      </w:tr>
      <w:tr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Gempabumi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</w:tr>
      <w:tr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Tsunami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0,65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0,75</w:t>
            </w:r>
          </w:p>
        </w:tc>
      </w:tr>
      <w:tr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Banjir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</w:tr>
      <w:tr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Tanah longsor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0,15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</w:tr>
      <w:tr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Likuefaksi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0,15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0,55</w:t>
            </w:r>
          </w:p>
        </w:tc>
      </w:tr>
      <w:tr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Gunung api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0,10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</w:tr>
      <w:tr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Karhutla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0,15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0,05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0,75</w:t>
            </w:r>
          </w:p>
        </w:tc>
      </w:tr>
      <w:tr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Komposit infrastruktur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3. Penelitian: pusat studi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Slider w_pusat (default 1). Nol = pusat studi tidak dihitung.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R_pusat = w_pusat × 1,35 × kematangan × kesesuaian × nasional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Faktor</w:t>
            </w:r>
          </w:p>
        </w:tc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Nilai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Kematangan: anchor (TDMRC, PSBA, RCDM, PSB Unand, Nalodo)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1,35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Kematangan: PUI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1,20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Kematangan: standar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Bahaya cocok, atau mode komposit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Bahaya tidak tercantum di fokus pusat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berjejaring nasional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1,20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lokal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4. Pengabdian: layanan kepakaran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Dipisah dari penelitian. Hanya pusat yang punya rekam PkM. Slider w_kepakaran default 1. Basis data masih proxy dari pusat studi, bukan direktori layanan kepakaran tersendiri.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K_kepakaran = w_kepakaran × 1,10 × kematangan × kesesuaian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Kematangan</w:t>
            </w:r>
          </w:p>
        </w:tc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Pengali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Anchor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1,20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PUI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1,10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Standar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5. Spillover antarprovinsi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 xml:space="preserve">Mengikuti </w:t>
      </w:r>
      <w:r>
        <w:rPr>
          <w:rFonts w:ascii="Calibri" w:hAnsi="Calibri" w:eastAsia="Calibri"/>
          <w:b/>
          <w:i w:val="0"/>
          <w:color w:val="1F1A16"/>
          <w:sz w:val="22"/>
        </w:rPr>
        <w:t>akreditasi perguruan tinggi</w:t>
      </w:r>
      <w:r>
        <w:rPr>
          <w:rFonts w:ascii="Calibri" w:hAnsi="Calibri" w:eastAsia="Calibri"/>
          <w:b w:val="0"/>
          <w:i w:val="0"/>
          <w:color w:val="1F1A16"/>
          <w:sz w:val="22"/>
        </w:rPr>
        <w:t>, bukan peringkat prodi. Provinsi asal tetap 100% skornya; tetangganya mendapat tambahan. Slider w_spill (default 1) menaik-turunkan semua persentase.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Akreditasi PT</w:t>
            </w:r>
          </w:p>
        </w:tc>
        <w:tc>
          <w:tcPr>
            <w:tcW w:type="dxa" w:w="3137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Pulau yang sama</w:t>
            </w:r>
          </w:p>
        </w:tc>
        <w:tc>
          <w:tcPr>
            <w:tcW w:type="dxa" w:w="3137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Pulau lain</w:t>
            </w:r>
          </w:p>
        </w:tc>
      </w:tr>
      <w:tr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Internasional (ITB, UI, UGM, ITS)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12% × w_spill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6% × w_spill</w:t>
            </w:r>
          </w:p>
        </w:tc>
      </w:tr>
      <w:tr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Unggul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8% × w_spill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3% × w_spill</w:t>
            </w:r>
          </w:p>
        </w:tc>
      </w:tr>
      <w:tr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Baik Sekali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4% × w_spill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</w:t>
            </w:r>
          </w:p>
        </w:tc>
      </w:tr>
      <w:tr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Baik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6. Kapasitas dan IDPKI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Kapasitas = Σ E_prodi + Σ R_pusat + Σ K_kepakaran</w:t>
              <w:br/>
              <w:t xml:space="preserve">            (masing-masing termasuk spillover)</w:t>
              <w:br/>
              <w:br/>
              <w:t>IDPKI = Kapasitas / (jumlah penduduk / 1.000.000)</w:t>
            </w:r>
          </w:p>
        </w:tc>
      </w:tr>
    </w:tbl>
    <w:p/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Per juta penduduk, supaya Jawa tidak otomatis “tinggi” hanya karena jumlah kampus. Tab Pendidikan mewarnai skala mutlak 0–15. Nilai di atas 15 tetap dihitung, warnanya menempel di ujung teal.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7. Risiko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Komposit dikalibrasi ke angka publik IRBI 2024: Maluku 161,5; Maluku Utara 145,09; DKI Jakarta 59,29. Skor per bahaya (gempabumi, tsunami, banjir, longsor, likuefaksi, gunung api, karhutla) adalah profil relatif prototipe — bukan sel resmi IRBI/BNPB.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Warna Risiko: 0–100 untuk bahaya tunggal, 0–200 untuk komposit. Tidak distretch ke provinsi terendah–tertinggi.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8. Tertil dan matriks 3×3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Kelas 0 / 1 / 2 dihitung ulang setiap kali parameter berubah, dari kuantil empiris 38 provinsi (ini perbandingan relatif, sengaja):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kelas = 0  jika nilai ≤ kuantil 1/3</w:t>
              <w:br/>
              <w:t xml:space="preserve">      = 1  jika nilai ≤ kuantil 2/3</w:t>
              <w:br/>
              <w:t xml:space="preserve">      = 2  jika di atas itu</w:t>
            </w:r>
          </w:p>
        </w:tc>
      </w:tr>
    </w:tbl>
    <w:p/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Tegak: tertil risiko (atas = tinggi). Datar: tertil pendidikan (kanan = tinggi).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Risiko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Pendidikan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Kuadran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Arti singkat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tinggi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rendah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Senjang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Prioritas intervensi pendidikan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tinggi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tinggi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Selaras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Simpul yang sudah sepadan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rendah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tinggi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Berlebih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Kapasitas lebih dari bebannya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rendah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rendah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Relevan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Sebanding pada beban kecil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menengah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menengah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Menengah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Bukan sudut matriks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9. Indeks senjang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Footer peta mengurutkan enam provinsi dengan senjang terbesar. Untuk ranking ini, risiko dan IDPKI dinormalisasi min–maks 38 provinsi ke 0–1: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risiko_norm = (R − min R) / (max R − min R)</w:t>
              <w:br/>
              <w:t>IDPKI_norm  = (E − min E) / (max E − min E)</w:t>
              <w:br/>
              <w:br/>
              <w:t>senjang = risiko_norm − IDPKI_norm</w:t>
            </w:r>
          </w:p>
        </w:tc>
      </w:tr>
    </w:tbl>
    <w:p/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Mendekati +1: risiko relatif tinggi, pendidikan relatif rendah. Negatif: pendidikan relatif lebih tinggi daripada risiko.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Sumber data prototipe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90 prodi S1 Teknik Sipil (BAN-PT / LAM Teknik).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14 prodi kebencanaan (BAN-PT).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Kurasi awal: 13 Planologi, 10 geologi, 8 arsitektur, 8 lingkungan, 8 kelautan, 9 multidisiplin.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13 pusat studi, sekaligus proxy layanan kepakaran (daftar di bawah).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Akreditasi institusi: prototipe. Internasional = ITB, UI, UGM, ITS; Unggul dikurasi; sisanya diinfer dari peringkat program.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Penduduk: angka prototipe, 38 provinsi termasuk pemekaran Papua.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Batas administrasi GeoJSON 38 provinsi.</w:t>
      </w:r>
    </w:p>
    <w:p>
      <w:pPr>
        <w:pStyle w:val="Heading2"/>
        <w:spacing w:after="160" w:before="240" w:line="276" w:lineRule="auto"/>
      </w:pPr>
      <w:r>
        <w:rPr>
          <w:rFonts w:ascii="Cambria" w:hAnsi="Cambria" w:eastAsia="Cambria"/>
          <w:color w:val="1F1A16"/>
        </w:rPr>
        <w:t>Pusat studi dalam basis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Pusat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Perguruan tinggi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Provinsi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Fokus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Studi Bencana (PSB)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Andalas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Sumatera Barat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Megathrust Sumatera, gempa-tsunami Padang; berdiri 2007.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Tsunami and Disaster Mitigation Research Center (TDMRC)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Syiah Kuala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Aceh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Tsunami dan gempa pasca-2004; laboratorium flume tsunami; jejaring internasional.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Studi Bencana (PSBA)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Gadjah Mada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Daerah Istimewa Yogyakarta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Multidisiplin pasca gempa Yogya 2006; pendidikan dan pengabdian.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Studi Manajemen Bencana (PSMB)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Pembangunan Nasional Veteran Yogyakarta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Daerah Istimewa Yogyakarta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Manajemen risiko dan geobencana.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Studi Bencana Unhas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Hasanuddin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Sulawesi Selatan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Banjir, longsor, dan pesisir/DAS Sulawesi Selatan.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PUI Gambut &amp; Kebencanaan (PUI-GK)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Riau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Riau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Karhutla dan tata kelola gambut.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Disaster Risk Reduction Center (DRRC UI)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Indonesia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Jawa Barat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PRB, krisis, kesehatan lingkungan.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P3B LPPM UNS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Sebelas Maret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Jawa Tengah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Kebijakan dan pendidikan kebencanaan.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Puslit MKPI ITS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Institut Teknologi Sepuluh Nopember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Jawa Timur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Mitigasi bencana dan perubahan iklim.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Research Center for Disaster Mitigation (RCDM)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Institut Teknologi Bandung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Jawa Barat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Seismologi, vulkanologi, kontribusi PuSGeN; dampak nasional.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Disaster Risk Reduction Center (DiRReC)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Islam Indonesia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Daerah Istimewa Yogyakarta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PRB dan pengabdian masyarakat.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PSMPB UAD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Ahmad Dahlan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Daerah Istimewa Yogyakarta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Mitigasi, edukasi, ketangguhan.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Studi Nalodo Internasional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Tadulako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Sulawesi Tengah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Likuefaksi/Nalodo pasca Palu 2018.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Yang tidak diklaim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PKPRB bukan indeks kesiapsiagaan, bukan ranking kampus, dan bukan unduhan resmi IRBI per kabupaten. Bobot dapat digeser; hasil berubah. Inventaris prodi non-sipil dan akreditasi institusi perlu validasi BAN-PT. Skor bahaya selain komposit bersifat profil kerja, bukan angka BNPB.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/>
          <w:color w:val="1F1A16"/>
          <w:sz w:val="20"/>
        </w:rPr>
        <w:t>P2MI Multidisiplin FTSL ITB 2026 — Mainstreaming Disaster Resiliency in Infrastructure Systems.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 w:eastAsia="Calibri"/>
        <w:b w:val="0"/>
        <w:i w:val="0"/>
        <w:color w:val="6B6358"/>
        <w:sz w:val="16"/>
      </w:rPr>
      <w:t>PKPRB  ·  pkprb.vercel.app/metodologi  ·  P2MI FTSL ITB 2026</w:t>
    </w:r>
    <w:r>
      <w:t xml:space="preserve">    </w:t>
    </w:r>
    <w:r>
      <w:rPr>
        <w:rFonts w:ascii="Calibri" w:hAnsi="Calibri" w:eastAsia="Calibri"/>
        <w:b w:val="0"/>
        <w:i w:val="0"/>
        <w:color w:val="6B6358"/>
        <w:sz w:val="16"/>
      </w:rPr>
      <w:fldChar w:fldCharType="begin"/>
    </w:r>
    <w:r>
      <w:rPr>
        <w:rFonts w:ascii="Calibri" w:hAnsi="Calibri" w:eastAsia="Calibri"/>
        <w:b w:val="0"/>
        <w:i w:val="0"/>
        <w:color w:val="6B6358"/>
        <w:sz w:val="16"/>
      </w:rPr>
      <w:instrText xml:space="preserve"> PAGE </w:instrText>
    </w:r>
    <w:r>
      <w:rPr>
        <w:rFonts w:ascii="Calibri" w:hAnsi="Calibri" w:eastAsia="Calibri"/>
        <w:b w:val="0"/>
        <w:i w:val="0"/>
        <w:color w:val="6B635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