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3D7F92"/>
          <w:sz w:val="18"/>
        </w:rPr>
        <w:t>PROTOTIPE  ·  20 AGUSTUS 2026  ·  P2MI MULTIDISIPLIN FTSL ITB</w:t>
      </w:r>
    </w:p>
    <w:p>
      <w:pPr>
        <w:spacing w:after="80" w:before="0" w:line="276" w:lineRule="auto"/>
      </w:pPr>
      <w:r>
        <w:rPr>
          <w:rFonts w:ascii="Cambria" w:hAnsi="Cambria" w:eastAsia="Cambria"/>
          <w:b/>
          <w:i w:val="0"/>
          <w:color w:val="1F1A16"/>
          <w:sz w:val="52"/>
        </w:rPr>
        <w:t>Metodologi PKPRB</w:t>
      </w:r>
    </w:p>
    <w:p>
      <w:pPr>
        <w:spacing w:after="240" w:before="0" w:line="276" w:lineRule="auto"/>
      </w:pPr>
      <w:r>
        <w:rPr>
          <w:rFonts w:ascii="Cambria" w:hAnsi="Cambria" w:eastAsia="Cambria"/>
          <w:b w:val="0"/>
          <w:i/>
          <w:color w:val="6B6358"/>
          <w:sz w:val="28"/>
        </w:rPr>
        <w:t>Peta Keselarasan Pendidikan dan Risiko Bencana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Dokumen ini menjelaskan rumus yang benar-benar dijalankan peta, supaya tim dapat meninjau asumsi, bobot, dan celah data. Versi web yang sama: https://pkprb.vercel.app/metodologi — peta: https://pkprb.vercel.app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D9D0" w:val="clear"/>
            <w:tcBorders>
              <w:top w:val="single" w:sz="4" w:space="0" w:color="C45C48"/>
              <w:left w:val="single" w:sz="4" w:space="0" w:color="C45C48"/>
              <w:bottom w:val="single" w:sz="4" w:space="0" w:color="C45C48"/>
              <w:right w:val="single" w:sz="4" w:space="0" w:color="C45C48"/>
            </w:tcBorders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1F1A16"/>
                <w:sz w:val="22"/>
              </w:rPr>
              <w:t>Bukan peta kesiapan atau ketangguhan daerah.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20"/>
              </w:rPr>
              <w:t>PKPRB memetakan keselarasan antara profil risiko dan dukungan pendidikan tinggi (prodi, penelitian, pengabdian). Tidak mengukur BPBD, SNI, stok insinyur, atau mutu lulusan di lapangan.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Masukan yang kami butuhkan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Silakan uji peta lalu komentari butir berikut. Geser sliders: peta dan rumus ini sama.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Matriks bobot disiplin × bahaya (prior Delphi). Apakah sipil harus 1,00 di gempa? Apakah Planologi 0,40 terlalu rendah?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Jenjang S1/S2/S3 default semua 1,00. Perlukah S2/S3 lebih tinggi?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IABEE dipetakan ke akreditasi Internasional, bukan bonus di atas Unggul. Setuju?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Hanya ITB, UI, UGM, ITS yang disebut PT internasional untuk spillover. Tambah IPB, Unpad, Unhas, atau lainnya?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Besaran kolam spillover 12 / 8 / 4% sepulau dan 6 / 3% antar-pulau, dibagi rata ke penerima. Arahnya sudah benar?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Skala tampilan 1–10 untuk Pendidikan dan Risiko (bukan min–maks 38 provinsi). Keselarasan tetap 3×3. Cukup intuitif?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Inventaris Planologi, geologi, arsitektur, lingkungan, kelautan, multidisiplin masih kurasi awal — bukan direktori BAN-PT lengkap.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Label kuadran: Senjang, Selaras, Berlebih, Relevan.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Cara membaca peta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Pendidikan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skala tampilan 1–10 dari ln(1 + kapasitas). Penduduk tidak dibagi. 1 = kapasitas nol; 10 = ln(1+kapasitas) ≥ 4.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Risiko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skala tampilan 1–10. Bahaya tunggal dari skor 0–100; komposit dari IRBI 0–200.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Keselarasan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matriks 3×3 tertil risiko × tertil pendidikan di antara 38 provinsi. Tidak dipaksa jadi satu angka. Tooltip memakai kedua nilai 1–10.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Historis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bubble korban jiwa kejadian signifikan sejak 2000 (kurasi, bukan DIBI lengkap).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Pusat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massa pusat studi + PkM di provinsi itu (tanpa prodi, tanpa spillover). Skala 1–10.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Respons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matriks 2×2 historis × pusat. Belum terespons + risiko tinggi = celah roadmap.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Contoh pada bahaya gempabumi, bobot default (dibulatkan):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Provinsi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Pendidikan (1–10)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Risiko gempa (1–10)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Catatan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DI Yogyakarta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8,3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8,6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~24; selaras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Barat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8,2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7,5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hampir sama dengan Yogya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Aceh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6,6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9,1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TDMRC + banyak prodi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Papua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3,3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7,8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Sedikit prodi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Papua Selatan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2,5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6,0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Satu S1 Musamus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Maluku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2,7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8,9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Risiko tinggi, pendidikan rendah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1. Skor prodi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Tidak ada toggle. Bobot 0 = tidak dihitung. Setiap program studi: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E_prodi = w(disiplin, bahaya)  ×  w(jenjang)  ×  w(akreditasi_prodi)</w:t>
            </w:r>
          </w:p>
        </w:tc>
      </w:tr>
    </w:tbl>
    <w:p/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Jenjang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Default sementara sama, agar perbedaan antar-disiplin mudah dibaca. D4 memakai bobot S1.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Jenjang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Default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S1 (dan D4)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S2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S3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</w:tbl>
    <w:p/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Akreditasi prodi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IABEE General atau Provisional → Internasional. Tidak ditumpuk di atas Unggul.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Peringkat prodi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Default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Internasional (IABEE)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Unggul atau A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 Sekali atau B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Baik, C, atau terakreditasi lain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2. Bobot disiplin × bahaya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Prior 0–1, berganti otomatis saat jenis bahaya dipilih, lalu dapat digeser. Sipil tinggi pada gempa dan likuefaksi; Planologi pada tsunami dan banjir; geologi pada longsor dan gunung api; kelautan pada tsunami.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Bahaya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Sipil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Arsitektur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Planologi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Geologi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Lingkungan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Kelautan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Kebencanaan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Multidisiplin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Gempabumi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Tsunami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0,65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0,75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Banjir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Tanah longsor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Likuefaksi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Gunung api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Karhutla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0,05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0,75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Komposit infrastruktur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3. Penelitian: pusat studi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Slider w_pusat (default 1). Nol = pusat studi tidak dihitung.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R_pusat = w_pusat × 1,35 × kematangan × kesesuaian × nasional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Faktor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Nilai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Kematangan: anchor (TDMRC, PSBA, RCDM, PSB Unand, Nalodo)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1,35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Kematangan: PUI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1,20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Kematangan: standar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Bahaya cocok, atau mode komposit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Bahaya tidak tercantum di fokus pusat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berjejaring nasional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1,20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lokal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4. Pengabdian: layanan kepakaran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Dipisah dari penelitian. Hanya pusat yang punya rekam PkM. Slider w_kepakaran default 1. Basis data masih proxy dari pusat studi, bukan direktori layanan kepakaran tersendiri.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K_kepakaran = w_kepakaran × 1,10 × kematangan × kesesuaian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Kematangan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Pengali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Anchor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1,20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PUI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1,10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Standar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5. Spillover antarprovinsi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Mengikuti </w:t>
      </w:r>
      <w:r>
        <w:rPr>
          <w:rFonts w:ascii="Calibri" w:hAnsi="Calibri" w:eastAsia="Calibri"/>
          <w:b/>
          <w:i w:val="0"/>
          <w:color w:val="1F1A16"/>
          <w:sz w:val="22"/>
        </w:rPr>
        <w:t>akreditasi perguruan tinggi</w:t>
      </w:r>
      <w:r>
        <w:rPr>
          <w:rFonts w:ascii="Calibri" w:hAnsi="Calibri" w:eastAsia="Calibri"/>
          <w:b w:val="0"/>
          <w:i w:val="0"/>
          <w:color w:val="1F1A16"/>
          <w:sz w:val="22"/>
        </w:rPr>
        <w:t>, bukan peringkat prodi. Provinsi asal tetap 100% skornya. Sebagian kecil dipancarkan sebagai kolam lalu dibagi rata ke penerima — tidak dikloning ke setiap provinsi. (Kloning membuat Papua Selatan tampak “tinggi” hanya karena penduduknya 522 ribu, padahal hampir seluruh angkanya impor dari ITB/UI/UGM/ITS.) Slider w_spill (default 1) menaik-turunkan kolam.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Akreditasi PT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Pulau yang sama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Pulau lain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Internasional (ITB, UI, UGM, ITS)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12% kolam ÷ n sepulau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6% kolam ÷ n pulau lain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Unggul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8% kolam ÷ n sepulau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3% kolam ÷ n pulau lain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 Sekali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4% kolam ÷ n sepulau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6. Kapasitas dan indeks Pendidikan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Kapasitas = Σ E_prodi + Σ R_pusat + Σ K_kepakaran</w:t>
              <w:br/>
              <w:t xml:space="preserve">            + spillover masuk (kolam sumber ÷ jumlah penerima)</w:t>
              <w:br/>
              <w:br/>
              <w:t>P_ln = ln(1 + Kapasitas)</w:t>
              <w:br/>
              <w:t>per_juta = Kapasitas / (jumlah penduduk / 1.000.000)   (panel, bukan warna peta)</w:t>
              <w:br/>
              <w:br/>
              <w:t>Pendidikan_tampil = 1 + 9 × min(1, P_ln / 4)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Peta Pendidikan mewarnai massa akademik, bukan kepadatan per kapita. ln meredam pencilan tanpa membuang urutan: Yogya ≈ Jabar (kapasitas ~24 → sekitar 8 dari 10), Papua Selatan (satu S1 → sekitar 2). Per juta, kapasitas, dan skor bahaya mentah tetap di panel. Warna dan tooltip memakai skala 1–10.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7. Risiko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Komposit = indeks resmi IRBI 2025 tingkat provinsi (buku InaRISK); contoh tampilan: Papua Barat Daya 230,78; Maluku 203,94; DKI Jakarta 57,58. Per bahaya (gempabumi, tsunami, banjir, longsor, likuefaksi, gunung api, karhutla) = rata-rata sederhana skor kabupaten pada tabel ancaman IRBI yang sama — bukan angka resmi provinsi BNPB, bukan maksimum, bukan tertimbang penduduk. Provinsi tanpa baris di tabel = 0 (bukan sertifikat aman).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Warna dan angka Risiko di peta memakai skala 1–10. Skor mentah tetap di panel.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Risiko_tampil = 1 + 9 × min(1, R / R_cap)</w:t>
              <w:br/>
              <w:t>R_cap = 40   (bahaya tunggal, rata-rata kabupaten)</w:t>
              <w:br/>
              <w:t xml:space="preserve">      = 250  (komposit IRBI 2025)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8. Tertil dan matriks 3×3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Kelas 0 / 1 / 2 dihitung ulang setiap kali parameter berubah, dari kuantil empiris 38 provinsi (ini perbandingan relatif, sengaja):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kelas = 0  jika nilai ≤ kuantil 1/3</w:t>
              <w:br/>
              <w:t xml:space="preserve">      = 1  jika nilai ≤ kuantil 2/3</w:t>
              <w:br/>
              <w:t xml:space="preserve">      = 2  jika di atas itu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Tegak: tertil risiko (atas = tinggi). Datar: tertil pendidikan (kanan = tinggi).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Risiko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Pendidikan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Kuadran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Arti singkat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Senjang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Prioritas intervensi pendidikan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Selaras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Simpul yang sudah sepadan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Berlebih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lebih dari bebannya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Relevan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Sebanding pada beban kecil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menengah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menengah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Menengah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Bukan sudut matriks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9. Indeks senjang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Footer peta mengurutkan enam provinsi dengan senjang terbesar. Untuk ranking ini, risiko dan pendidikan (nilai internal: skor bahaya dan P_ln) dinormalisasi min–maks 38 provinsi ke 0–1. Skala 1–10 monoton terhadap nilai itu, jadi urutan sama.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risiko_norm = (R − min R) / (max R − min R)</w:t>
              <w:br/>
              <w:t>P_norm      = (P_ln − min P_ln) / (max P_ln − min P_ln)</w:t>
              <w:br/>
              <w:br/>
              <w:t>senjang = risiko_norm − P_norm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Mendekati +1: risiko relatif tinggi, pendidikan relatif rendah. Negatif: pendidikan relatif lebih tinggi daripada risiko.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10. Historis, pusat, dan respons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Tiga tampilan ini memilah penelitian/PkM yang mengikuti luka dari yang mendahului kejadian — bahan roadmap riset, bukan preparedness. Prodi tetap di Pendidikan/Keselarasan. Pusat di peta Respons = stok lokal (spillover tidak dihitung).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Historis: korban jiwa kejadian signifikan 2000–kini, kurasi publik (bukan DIBI lengkap). Satu peristiwa dihitung sekali pada komposit; pada bahaya tunggal jika tercantum di daftar bahayanya. Karhutla understated (korban langsung, bukan excess death haze).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kelas_historis = 1 jika korban &gt; median 38 provinsi, else 0</w:t>
              <w:br/>
              <w:t>kelas_pusat    = 1 jika (R_pusat + K_kepakaran)_lokal &gt; median, else 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Historis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Pusat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Kuadran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Arti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Responsif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setelah peristiwa (TDMRC, PSBA, Nalodo)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Antisipatif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tanpa pemicu lokal — yang ingin ditiru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Tidak melembaga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Terjadi, kelembagaan tidak menempel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Belum terespons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Jika risiko tinggi: celah roadmap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Footer pada tab Respons mengurutkan “belum terespons + risiko tinggi”. Ini bukan peta kesiapan; ini daftar wilayah yang risikonya tinggi, memorinya kosong, dan pusatnya belum ada.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Sumber data prototipe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90 prodi S1 Teknik Sipil (BAN-PT / LAM Teknik).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14 prodi kebencanaan (BAN-PT).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Kurasi awal: 13 Planologi, 10 geologi, 8 arsitektur, 8 lingkungan, 8 kelautan, 9 multidisiplin.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13 pusat studi, sekaligus proxy layanan kepakaran (daftar di bawah).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Akreditasi institusi: prototipe. Internasional = ITB, UI, UGM, ITS; Unggul dikurasi; sisanya diinfer dari peringkat program.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Penduduk: angka prototipe, 38 provinsi termasuk pemekaran Papua.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Katalog 45 kejadian signifikan 2000–2024 (korban jiwa, kurasi BNPB/EM-DAT/laporan publik) — bukan unduhan DIBI.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Batas administrasi GeoJSON 38 provinsi.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Pusat studi dalam basis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Pusat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Perguruan tinggi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Provinsi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Fokus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Bencana (PSB)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Andalas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Sumatera Barat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Megathrust Sumatera, gempa-tsunami Padang; berdiri 2007.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Tsunami and Disaster Mitigation Research Center (TDMRC)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Syiah Kuala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Aceh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Tsunami dan gempa pasca-2004; laboratorium flume tsunami; jejaring internasional.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Bencana (PSBA)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Gadjah Mada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Multidisiplin pasca gempa Yogya 2006; pendidikan dan pengabdian.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Manajemen Bencana (PSMB)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Pembangunan Nasional Veteran Yogyakarta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Manajemen risiko dan geobencana.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Bencana Unhas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Hasanuddin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Sulawesi Selatan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Banjir, longsor, dan pesisir/DAS Sulawesi Selatan.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PUI Gambut &amp; Kebencanaan (PUI-GK)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Riau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Riau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Karhutla dan tata kelola gambut.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Disaster Risk Reduction Center (DRRC UI)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Indonesia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Barat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PRB, krisis, kesehatan lingkungan.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P3B LPPM UNS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Sebelas Maret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Tengah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Kebijakan dan pendidikan kebencanaan.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Puslit MKPI ITS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Institut Teknologi Sepuluh Nopember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Timur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Mitigasi bencana dan perubahan iklim.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Research Center for Disaster Mitigation (RCDM)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Institut Teknologi Bandung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Barat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Seismologi, vulkanologi, kontribusi PuSGeN; dampak nasional.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Disaster Risk Reduction Center (DiRReC)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Islam Indonesia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PRB dan pengabdian masyarakat.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PSMPB UAD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Ahmad Dahlan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Mitigasi, edukasi, ketangguhan.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Nalodo Internasional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Tadulako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Sulawesi Tengah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Likuefaksi/Nalodo pasca Palu 2018.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Yang tidak diklaim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PKPRB bukan indeks kesiapsiagaan, bukan ranking kampus, dan bukan unduhan resmi IRBI per kabupaten. Bobot dapat digeser; hasil berubah. Inventaris prodi non-sipil dan akreditasi institusi perlu validasi BAN-PT. Skor bahaya selain komposit bersifat profil kerja, bukan angka BNPB.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F1A16"/>
          <w:sz w:val="20"/>
        </w:rPr>
        <w:t>P2MI Multidisiplin FTSL ITB 2026 — Mainstreaming Disaster Resiliency in Infrastructure Systems.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6B6358"/>
        <w:sz w:val="16"/>
      </w:rPr>
      <w:t>PKPRB  ·  pkprb.vercel.app/metodologi  ·  P2MI FTSL ITB 2026</w:t>
    </w:r>
    <w:r>
      <w:t xml:space="preserve">    </w:t>
    </w:r>
    <w:r>
      <w:rPr>
        <w:rFonts w:ascii="Calibri" w:hAnsi="Calibri" w:eastAsia="Calibri"/>
        <w:b w:val="0"/>
        <w:i w:val="0"/>
        <w:color w:val="6B6358"/>
        <w:sz w:val="16"/>
      </w:rPr>
      <w:fldChar w:fldCharType="begin"/>
    </w:r>
    <w:r>
      <w:rPr>
        <w:rFonts w:ascii="Calibri" w:hAnsi="Calibri" w:eastAsia="Calibri"/>
        <w:b w:val="0"/>
        <w:i w:val="0"/>
        <w:color w:val="6B6358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6B635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