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PROTOTIPE  ·  20 AGUSTUS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Metodologi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Peta Keselarasan Pendidikan dan Risiko Bencana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menjelaskan rumus yang benar-benar dijalankan peta, supaya tim dapat meninjau asumsi, bobot, dan celah data. Versi web yang sama: https://pkprb.vercel.app/metodologi — peta: https://pkprb.vercel.app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atau ketangguhan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PKPRB memetakan keselarasan antara profil risiko dan dukungan pendidikan tinggi (prodi, penelitian, pengabdian). Tidak mengukur BPBD, SNI, stok insinyur, atau mutu lulusan di lapangan.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Masukan yang kami butuhkan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Silakan uji peta lalu komentari butir berikut. Geser sliders: peta dan rumus ini sama.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bobot disiplin × bahaya (prior Delphi). Apakah sipil harus 1,00 di gempa? Apakah Planologi 0,40 terlalu rendah?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Jenjang S1/S2/S3 default semua 1,00. Perlukah S2/S3 lebih tinggi?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dipetakan ke akreditasi Internasional, bukan bonus di atas Unggul. Setuju?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Hanya ITB, UI, UGM, ITS yang disebut PT internasional untuk spillover. Tambah IPB, Unpad, Unhas, atau lainnya?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Besaran kolam spillover 12 / 8 / 4% sepulau dan 6 / 3% antar-pulau, dibagi rata ke penerima. Arahnya sudah benar?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Skala warna mutlak: risiko 0–100 (komposit 0–200), pendidikan 0–4 = ln(1+kapasitas), tanpa bagi penduduk. Jabar ≈ Yogya?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Inventaris Planologi, geologi, arsitektur, lingkungan, kelautan, multidisiplin masih kurasi awal — bukan direktori BAN-PT lengkap.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Label kuadran: Senjang, Selaras, Berlebih, Relevan.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Cara membaca peta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Pendidikan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ln(1 + kapasitas), skala 0–4. Penduduk tidak dibagi. Per juta tetap di panel.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Risiko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komposit bergaya IRBI atau satu jenis bahaya. Skala mutlak 0–100 (0–200 untuk komposit).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Keselarasan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3×3 tertil risiko × tertil pendidikan di antara 38 provinsi. Ini satu-satunya tampilan yang memang relatif antarprovinsi.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Skor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Tidak ada toggle. Bobot 0 = tidak dihitung. Setiap program studi: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E_prodi = w(disiplin, bahaya)  ×  w(jenjang)  ×  w(akreditasi_prodi)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Jenjang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Default sementara sama, agar perbedaan antar-disiplin mudah dibaca. D4 memakai bobot S1.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Jenjang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 (dan D4)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S2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Akreditasi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General atau Provisional → Internasional. Tidak ditumpuk di atas Unggul.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Peringkat prodi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(IABEE)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 atau A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 atau B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Baik, C, atau terakreditasi lain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Bobot disiplin × bahaya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Prior 0–1, berganti otomatis saat jenis bahaya dipilih, lalu dapat digeser. Sipil tinggi pada gempa dan likuefaksi; Planologi pada tsunami dan banjir; geologi pada longsor dan gunung api; kelautan pada tsunami.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Bahaya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Sipil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Arsitektur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Planologi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Geologi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Lingkungan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Kelautan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Kebencanaan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Multidisiplin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Gempabumi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0,65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Tanah longsor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Gunung api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0,05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Komposit infrastruktur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Penelitian: pusat studi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Slider w_pusat (default 1). Nol = pusat studi tidak dihitung.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R_pusat = w_pusat × 1,35 × kematangan × kesesuaian × nasional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Faktor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Nilai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anchor (TDMRC, PSBA, RCDM, PSB Unand, Nalodo)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1,35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cocok, atau mode komposit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tidak tercantum di fokus pusat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berjejaring nasional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lokal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Pengabdian: layanan kepakaran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Dipisah dari penelitian. Hanya pusat yang punya rekam PkM. Slider w_kepakaran default 1. Basis data masih proxy dari pusat studi, bukan direktori layanan kepakaran tersendiri.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K_kepakaran = w_kepakaran × 1,10 × kematangan × kesesuaian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Kematangan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Pengali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Anchor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1,10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Spillover antarprovinsi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Mengikuti </w:t>
      </w:r>
      <w:r>
        <w:rPr>
          <w:rFonts w:ascii="Calibri" w:hAnsi="Calibri" w:eastAsia="Calibri"/>
          <w:b/>
          <w:i w:val="0"/>
          <w:color w:val="1F1A16"/>
          <w:sz w:val="22"/>
        </w:rPr>
        <w:t>akreditasi perguruan tinggi</w:t>
      </w:r>
      <w:r>
        <w:rPr>
          <w:rFonts w:ascii="Calibri" w:hAnsi="Calibri" w:eastAsia="Calibri"/>
          <w:b w:val="0"/>
          <w:i w:val="0"/>
          <w:color w:val="1F1A16"/>
          <w:sz w:val="22"/>
        </w:rPr>
        <w:t>, bukan peringkat prodi. Provinsi asal tetap 100% skornya. Sebagian kecil dipancarkan sebagai kolam lalu dibagi rata ke penerima — tidak dikloning ke setiap provinsi. (Kloning membuat Papua Selatan tampak “tinggi” hanya karena penduduknya 522 ribu, padahal hampir seluruh angkanya impor dari ITB/UI/UGM/ITS.) Slider w_spill (default 1) menaik-turunkan kolam.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Akreditasi PT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yang sama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(ITB, UI, UGM, ITS)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12%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6% kolam ÷ n pulau lain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8% kolam ÷ n sepulau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3% kolam ÷ n 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Kapasitas dan IDPKI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Kapasitas = Σ E_prodi + Σ R_pusat + Σ K_kepakaran</w:t>
              <w:br/>
              <w:t xml:space="preserve">            + spillover masuk (kolam sumber ÷ jumlah penerima)</w:t>
              <w:br/>
              <w:br/>
              <w:t>IDPKI = ln(1 + Kapasitas)</w:t>
              <w:br/>
              <w:t>per_juta = Kapasitas / (jumlah penduduk / 1.000.000)   (panel, bukan warna peta)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Peta Pendidikan mewarnai massa akademik, bukan kepadatan per kapita. ln meredam pencilan tanpa membuang urutan: Yogya ≈ Jabar (kapasitas ~24), Papua Selatan (satu S1) tetap rendah. Per juta dan kapasitas mentah tetap di panel provinsi. Tab Pendidikan: 0–4 mutlak.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Risiko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Komposit dikalibrasi ke angka publik IRBI 2024: Maluku 161,5; Maluku Utara 145,09; DKI Jakarta 59,29. Skor per bahaya (gempabumi, tsunami, banjir, longsor, likuefaksi, gunung api, karhutla) adalah profil relatif prototipe — bukan sel resmi IRBI/BNPB.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Warna Risiko: 0–100 untuk bahaya tunggal, 0–200 untuk komposit. Tidak distretch ke provinsi terendah–tertinggi.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Tertil dan matriks 3×3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Kelas 0 / 1 / 2 dihitung ulang setiap kali parameter berubah, dari kuantil empiris 38 provinsi (ini perbandingan relatif, sengaja):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 = 0  jika nilai ≤ kuantil 1/3</w:t>
              <w:br/>
              <w:t xml:space="preserve">      = 1  jika nilai ≤ kuantil 2/3</w:t>
              <w:br/>
              <w:t xml:space="preserve">      = 2  jika di atas itu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Tegak: tertil risiko (atas = tinggi). Datar: tertil pendidikan (kanan = tinggi).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 singkat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Senjang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Prioritas intervensi pendidikan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Selaras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Simpul yang sudah sepadan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Berlebih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lebih dari bebannya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Relevan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Sebanding pada beban kecil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sudut matriks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Indeks senjang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peta mengurutkan enam provinsi dengan senjang terbesar. Untuk ranking ini, risiko dan IDPKI dinormalisasi min–maks 38 provinsi ke 0–1: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risiko_norm = (R − min R) / (max R − min R)</w:t>
              <w:br/>
              <w:t>IDPKI_norm  = (E − min E) / (max E − min E)</w:t>
              <w:br/>
              <w:br/>
              <w:t>senjang = risiko_norm − IDPKI_norm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Mendekati +1: risiko relatif tinggi, pendidikan relatif rendah. Negatif: pendidikan relatif lebih tinggi daripada risiko.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Sumber data prototipe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90 prodi S1 Teknik Sipil (BAN-PT / LAM Teknik).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14 prodi kebencanaan (BAN-PT).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Kurasi awal: 13 Planologi, 10 geologi, 8 arsitektur, 8 lingkungan, 8 kelautan, 9 multidisiplin.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13 pusat studi, sekaligus proxy layanan kepakaran (daftar di bawah).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Akreditasi institusi: prototipe. Internasional = ITB, UI, UGM, ITS; Unggul dikurasi; sisanya diinfer dari peringkat program.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Penduduk: angka prototipe, 38 provinsi termasuk pemekaran Papua.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Batas administrasi GeoJSON 38 provinsi.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Pusat studi dalam basis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Perguruan tinggi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Fokus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Andalas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Sumatera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Megathrust Sumatera, gempa-tsunami Padang; berdiri 2007.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and Disaster Mitigation Research Center (TDMRC)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Syiah Kuala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dan gempa pasca-2004; laboratorium flume tsunami; jejaring internasional.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(PSBA)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Gadjah Mada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Multidisiplin pasca gempa Yogya 2006; pendidikan dan pengabdian.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Manajemen Bencana (PSMB)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Pembangunan Nasional Veteran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Manajemen risiko dan geobencana.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Unhas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Hasanuddin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Banjir, longsor, dan pesisir/DAS Sulawesi Selatan.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 Gambut &amp; Kebencanaan (PUI-GK)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 dan tata kelola gambut.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(DRRC UI)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PRB, krisis, kesehatan lingkungan.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P3B LPPM UNS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Sebelas Maret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Tengah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Kebijakan dan pendidikan kebencanaan.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Puslit MKPI ITS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Sepuluh Nopember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Timur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 bencana dan perubahan iklim.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Research Center for Disaster Mitigation (RCDM)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Bandung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Seismologi, vulkanologi, kontribusi PuSGeN; dampak 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(DiRReC)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Islam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 dan pengabdian masyarakat.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PSMPB UAD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Ahmad Dahlan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Mitigasi, edukasi, ketangguhan.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Nalodo Internasional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Tadulako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Tengah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Likuefaksi/Nalodo pasca Palu 2018.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Yang tidak diklaim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PKPRB bukan indeks kesiapsiagaan, bukan ranking kampus, dan bukan unduhan resmi IRBI per kabupaten. Bobot dapat digeser; hasil berubah. Inventaris prodi non-sipil dan akreditasi institusi perlu validasi BAN-PT. Skor bahaya selain komposit bersifat profil kerja, bukan angka 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pkprb.vercel.app/metodologi  ·  P2MI FTSL ITB 2026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