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pPr>
    </w:p>
    <w:p>
      <w:pPr>
        <w:pStyle w:val="Heading1"/>
        <w:spacing w:after="120" w:before="240"/>
      </w:pPr>
      <w:r>
        <w:t xml:space="preserve">ANALISIS DOKUMEN RKA BELANJA SKPD</w:t>
      </w:r>
    </w:p>
    <w:p>
      <w:pPr>
        <w:pStyle w:val="Heading2"/>
        <w:spacing w:after="120" w:before="240"/>
      </w:pPr>
      <w:r>
        <w:t xml:space="preserve">Sub Kegiatan: Pendampingan Penyelenggaraan PUG Kewenangan Kabupaten/Kota</w:t>
      </w:r>
    </w:p>
    <w:p>
      <w:pPr>
        <w:pStyle w:val="Heading3"/>
        <w:spacing w:after="120" w:before="240"/>
      </w:pPr>
      <w:r>
        <w:t xml:space="preserve">Tahun Anggaran 2026</w:t>
      </w:r>
    </w:p>
    <w:p>
      <w:pPr>
        <w:spacing w:line="240"/>
      </w:pPr>
    </w:p>
    <w:p>
      <w:pPr>
        <w:spacing w:before="80" w:line="240"/>
        <w:jc w:val="both"/>
      </w:pPr>
      <w:r>
        <w:rPr>
          <w:rFonts w:ascii="Arial" w:cs="Arial" w:eastAsia="Arial" w:hAnsi="Arial"/>
          <w:b w:val="false"/>
          <w:bCs w:val="false"/>
          <w:color w:val="334155"/>
          <w:sz w:val="24"/>
          <w:szCs w:val="24"/>
        </w:rPr>
        <w:t xml:space="preserve">---</w:t>
      </w:r>
    </w:p>
    <w:p>
      <w:pPr>
        <w:spacing w:line="240"/>
      </w:pPr>
    </w:p>
    <w:p>
      <w:pPr>
        <w:spacing w:before="80" w:line="240"/>
        <w:jc w:val="both"/>
      </w:pPr>
      <w:r>
        <w:rPr>
          <w:rFonts w:ascii="Arial" w:cs="Arial" w:eastAsia="Arial" w:hAnsi="Arial"/>
          <w:b w:val="false"/>
          <w:bCs w:val="false"/>
          <w:color w:val="334155"/>
          <w:sz w:val="24"/>
          <w:szCs w:val="24"/>
        </w:rPr>
        <w:t xml:space="preserve"/>
      </w:r>
      <w:r>
        <w:rPr>
          <w:rFonts w:ascii="Arial" w:cs="Arial" w:eastAsia="Arial" w:hAnsi="Arial"/>
          <w:b/>
          <w:bCs/>
          <w:color w:val="334155"/>
          <w:sz w:val="24"/>
          <w:szCs w:val="24"/>
        </w:rPr>
        <w:t xml:space="preserve">Disusun oleh:</w:t>
      </w:r>
      <w:r>
        <w:rPr>
          <w:rFonts w:ascii="Arial" w:cs="Arial" w:eastAsia="Arial" w:hAnsi="Arial"/>
          <w:b w:val="false"/>
          <w:bCs w:val="false"/>
          <w:color w:val="334155"/>
          <w:sz w:val="24"/>
          <w:szCs w:val="24"/>
        </w:rPr>
        <w:t xml:space="preserve">Nayaxa - Asisten AI Bapperida</w:t>
      </w:r>
    </w:p>
    <w:p>
      <w:pPr>
        <w:spacing w:before="80" w:line="240"/>
        <w:jc w:val="both"/>
      </w:pPr>
      <w:r>
        <w:rPr>
          <w:rFonts w:ascii="Arial" w:cs="Arial" w:eastAsia="Arial" w:hAnsi="Arial"/>
          <w:b w:val="false"/>
          <w:bCs w:val="false"/>
          <w:color w:val="334155"/>
          <w:sz w:val="24"/>
          <w:szCs w:val="24"/>
        </w:rPr>
        <w:t xml:space="preserve"/>
      </w:r>
      <w:r>
        <w:rPr>
          <w:rFonts w:ascii="Arial" w:cs="Arial" w:eastAsia="Arial" w:hAnsi="Arial"/>
          <w:b/>
          <w:bCs/>
          <w:color w:val="334155"/>
          <w:sz w:val="24"/>
          <w:szCs w:val="24"/>
        </w:rPr>
        <w:t xml:space="preserve">Tanggal Analisis:</w:t>
      </w:r>
      <w:r>
        <w:rPr>
          <w:rFonts w:ascii="Arial" w:cs="Arial" w:eastAsia="Arial" w:hAnsi="Arial"/>
          <w:b w:val="false"/>
          <w:bCs w:val="false"/>
          <w:color w:val="334155"/>
          <w:sz w:val="24"/>
          <w:szCs w:val="24"/>
        </w:rPr>
        <w:t xml:space="preserve">29 April 2026</w:t>
      </w:r>
    </w:p>
    <w:p>
      <w:pPr>
        <w:spacing w:before="80" w:line="240"/>
        <w:jc w:val="both"/>
      </w:pPr>
      <w:r>
        <w:rPr>
          <w:rFonts w:ascii="Arial" w:cs="Arial" w:eastAsia="Arial" w:hAnsi="Arial"/>
          <w:b w:val="false"/>
          <w:bCs w:val="false"/>
          <w:color w:val="334155"/>
          <w:sz w:val="24"/>
          <w:szCs w:val="24"/>
        </w:rPr>
        <w:t xml:space="preserve"/>
      </w:r>
      <w:r>
        <w:rPr>
          <w:rFonts w:ascii="Arial" w:cs="Arial" w:eastAsia="Arial" w:hAnsi="Arial"/>
          <w:b/>
          <w:bCs/>
          <w:color w:val="334155"/>
          <w:sz w:val="24"/>
          <w:szCs w:val="24"/>
        </w:rPr>
        <w:t xml:space="preserve">Sumber Dokumen:</w:t>
      </w:r>
      <w:r>
        <w:rPr>
          <w:rFonts w:ascii="Arial" w:cs="Arial" w:eastAsia="Arial" w:hAnsi="Arial"/>
          <w:b w:val="false"/>
          <w:bCs w:val="false"/>
          <w:color w:val="334155"/>
          <w:sz w:val="24"/>
          <w:szCs w:val="24"/>
        </w:rPr>
        <w:t xml:space="preserve">Sistem Informasi Pemerintahan Daerah - Cetak RKA Rincian Belanja</w:t>
      </w:r>
    </w:p>
    <w:p>
      <w:pPr>
        <w:spacing w:line="240"/>
      </w:pPr>
    </w:p>
    <w:p>
      <w:pPr>
        <w:spacing w:before="80" w:line="240"/>
        <w:jc w:val="both"/>
      </w:pPr>
      <w:r>
        <w:rPr>
          <w:rFonts w:ascii="Arial" w:cs="Arial" w:eastAsia="Arial" w:hAnsi="Arial"/>
          <w:b w:val="false"/>
          <w:bCs w:val="false"/>
          <w:color w:val="334155"/>
          <w:sz w:val="24"/>
          <w:szCs w:val="24"/>
        </w:rPr>
        <w:t xml:space="preserve">---</w:t>
      </w:r>
    </w:p>
    <w:p>
      <w:pPr>
        <w:spacing w:line="240"/>
      </w:pPr>
    </w:p>
    <w:p>
      <w:pPr>
        <w:pStyle w:val="Heading2"/>
        <w:spacing w:after="120" w:before="240"/>
      </w:pPr>
      <w:r>
        <w:t xml:space="preserve">A. PROFIL UMUM DOKUMEN</w:t>
      </w:r>
    </w:p>
    <w:p>
      <w:pPr>
        <w:spacing w:line="240"/>
      </w:pPr>
    </w:p>
    <w:tbl>
      <w:tblPr>
        <w:tblW w:type="pct" w:w="100%"/>
        <w:jc w:val="center"/>
        <w:tblBorders>
          <w:top w:val="single" w:color="4f46e5" w:sz="2"/>
          <w:left w:val="single" w:color="E2E8F0" w:sz="1"/>
          <w:bottom w:val="single" w:color="4f46e5" w:sz="2"/>
          <w:right w:val="single" w:color="E2E8F0" w:sz="1"/>
          <w:insideH w:val="single" w:color="E2E8F0" w:sz="1"/>
          <w:insideV w:val="single" w:color="E2E8F0" w:sz="1"/>
        </w:tblBorders>
      </w:tblPr>
      <w:tblGrid>
        <w:gridCol w:w="100"/>
        <w:gridCol w:w="100"/>
      </w:tblGrid>
      <w:tr>
        <w:trPr>
          <w:tblHeader/>
        </w:trPr>
        <w:tc>
          <w:tcPr>
            <w:tcW w:type="pct" w:w="50%"/>
            <w:tcBorders>
              <w:top w:val="single" w:color="CBD5E1" w:sz="1"/>
              <w:left w:val="single" w:color="CBD5E1" w:sz="1"/>
              <w:bottom w:val="single" w:color="CBD5E1" w:sz="1"/>
              <w:right w:val="single" w:color="CBD5E1" w:sz="1"/>
            </w:tcBorders>
            <w:shd w:fill="4f46e5" w:val="clear"/>
            <w:tcMar>
              <w:top w:type="dxa" w:w="120"/>
              <w:left w:type="dxa" w:w="120"/>
              <w:bottom w:type="dxa" w:w="120"/>
              <w:right w:type="dxa" w:w="120"/>
            </w:tcMar>
            <w:vAlign w:val="center"/>
          </w:tcPr>
          <w:p>
            <w:pPr>
              <w:spacing w:after="40" w:before="40"/>
              <w:jc w:val="center"/>
            </w:pPr>
            <w:r>
              <w:rPr>
                <w:rFonts w:ascii="Arial" w:cs="Arial" w:eastAsia="Arial" w:hAnsi="Arial"/>
                <w:b/>
                <w:bCs/>
                <w:color w:val="FFFFFF"/>
                <w:sz w:val="24"/>
                <w:szCs w:val="24"/>
              </w:rPr>
              <w:t xml:space="preserve">Item</w:t>
            </w:r>
          </w:p>
        </w:tc>
        <w:tc>
          <w:tcPr>
            <w:tcW w:type="pct" w:w="50%"/>
            <w:tcBorders>
              <w:top w:val="single" w:color="CBD5E1" w:sz="1"/>
              <w:left w:val="single" w:color="CBD5E1" w:sz="1"/>
              <w:bottom w:val="single" w:color="CBD5E1" w:sz="1"/>
              <w:right w:val="single" w:color="CBD5E1" w:sz="1"/>
            </w:tcBorders>
            <w:shd w:fill="4f46e5" w:val="clear"/>
            <w:tcMar>
              <w:top w:type="dxa" w:w="120"/>
              <w:left w:type="dxa" w:w="120"/>
              <w:bottom w:type="dxa" w:w="120"/>
              <w:right w:type="dxa" w:w="120"/>
            </w:tcMar>
            <w:vAlign w:val="center"/>
          </w:tcPr>
          <w:p>
            <w:pPr>
              <w:spacing w:after="40" w:before="40"/>
              <w:jc w:val="center"/>
            </w:pPr>
            <w:r>
              <w:rPr>
                <w:rFonts w:ascii="Arial" w:cs="Arial" w:eastAsia="Arial" w:hAnsi="Arial"/>
                <w:b/>
                <w:bCs/>
                <w:color w:val="FFFFFF"/>
                <w:sz w:val="24"/>
                <w:szCs w:val="24"/>
              </w:rPr>
              <w:t xml:space="preserve">Detail</w:t>
            </w:r>
          </w:p>
        </w:tc>
      </w:tr>
      <w:tr>
        <w:trPr>
          <w:tblHeader w:val="false"/>
        </w:trPr>
        <w:tc>
          <w:tcPr>
            <w:tcW w:type="pct" w:w="50%"/>
            <w:tcBorders>
              <w:top w:val="single" w:color="CBD5E1" w:sz="1"/>
              <w:left w:val="single" w:color="CBD5E1" w:sz="1"/>
              <w:bottom w:val="single" w:color="CBD5E1" w:sz="1"/>
              <w:right w:val="single" w:color="CBD5E1" w:sz="1"/>
            </w:tcBorders>
            <w:tcMar>
              <w:top w:type="dxa" w:w="120"/>
              <w:left w:type="dxa" w:w="120"/>
              <w:bottom w:type="dxa" w:w="120"/>
              <w:right w:type="dxa" w:w="120"/>
            </w:tcMar>
            <w:vAlign w:val="center"/>
          </w:tcPr>
          <w:p>
            <w:pPr>
              <w:spacing w:after="40" w:before="40"/>
              <w:jc w:val="left"/>
            </w:pPr>
            <w:r>
              <w:rPr>
                <w:rFonts w:ascii="Arial" w:cs="Arial" w:eastAsia="Arial" w:hAnsi="Arial"/>
                <w:b w:val="false"/>
                <w:bCs w:val="false"/>
                <w:color w:val="334155"/>
                <w:sz w:val="22"/>
                <w:szCs w:val="22"/>
              </w:rPr>
              <w:t xml:space="preserve">Tahun Anggaran</w:t>
            </w:r>
          </w:p>
        </w:tc>
        <w:tc>
          <w:tcPr>
            <w:tcW w:type="pct" w:w="50%"/>
            <w:tcBorders>
              <w:top w:val="single" w:color="CBD5E1" w:sz="1"/>
              <w:left w:val="single" w:color="CBD5E1" w:sz="1"/>
              <w:bottom w:val="single" w:color="CBD5E1" w:sz="1"/>
              <w:right w:val="single" w:color="CBD5E1" w:sz="1"/>
            </w:tcBorders>
            <w:tcMar>
              <w:top w:type="dxa" w:w="120"/>
              <w:left w:type="dxa" w:w="120"/>
              <w:bottom w:type="dxa" w:w="120"/>
              <w:right w:type="dxa" w:w="120"/>
            </w:tcMar>
            <w:vAlign w:val="center"/>
          </w:tcPr>
          <w:p>
            <w:pPr>
              <w:spacing w:after="40" w:before="40"/>
              <w:jc w:val="left"/>
            </w:pPr>
            <w:r>
              <w:rPr>
                <w:rFonts w:ascii="Arial" w:cs="Arial" w:eastAsia="Arial" w:hAnsi="Arial"/>
                <w:b w:val="false"/>
                <w:bCs w:val="false"/>
                <w:color w:val="334155"/>
                <w:sz w:val="22"/>
                <w:szCs w:val="22"/>
              </w:rPr>
              <w:t xml:space="preserve">2026</w:t>
            </w:r>
          </w:p>
        </w:tc>
      </w:tr>
      <w:tr>
        <w:trPr>
          <w:tblHeader w:val="false"/>
        </w:trPr>
        <w:tc>
          <w:tcPr>
            <w:tcW w:type="pct" w:w="50%"/>
            <w:tcBorders>
              <w:top w:val="single" w:color="CBD5E1" w:sz="1"/>
              <w:left w:val="single" w:color="CBD5E1" w:sz="1"/>
              <w:bottom w:val="single" w:color="CBD5E1" w:sz="1"/>
              <w:right w:val="single" w:color="CBD5E1" w:sz="1"/>
            </w:tcBorders>
            <w:tcMar>
              <w:top w:type="dxa" w:w="120"/>
              <w:left w:type="dxa" w:w="120"/>
              <w:bottom w:type="dxa" w:w="120"/>
              <w:right w:type="dxa" w:w="120"/>
            </w:tcMar>
            <w:vAlign w:val="center"/>
          </w:tcPr>
          <w:p>
            <w:pPr>
              <w:spacing w:after="40" w:before="40"/>
              <w:jc w:val="left"/>
            </w:pPr>
            <w:r>
              <w:rPr>
                <w:rFonts w:ascii="Arial" w:cs="Arial" w:eastAsia="Arial" w:hAnsi="Arial"/>
                <w:b w:val="false"/>
                <w:bCs w:val="false"/>
                <w:color w:val="334155"/>
                <w:sz w:val="22"/>
                <w:szCs w:val="22"/>
              </w:rPr>
              <w:t xml:space="preserve">Urusan</w:t>
            </w:r>
          </w:p>
        </w:tc>
        <w:tc>
          <w:tcPr>
            <w:tcW w:type="pct" w:w="50%"/>
            <w:tcBorders>
              <w:top w:val="single" w:color="CBD5E1" w:sz="1"/>
              <w:left w:val="single" w:color="CBD5E1" w:sz="1"/>
              <w:bottom w:val="single" w:color="CBD5E1" w:sz="1"/>
              <w:right w:val="single" w:color="CBD5E1" w:sz="1"/>
            </w:tcBorders>
            <w:tcMar>
              <w:top w:type="dxa" w:w="120"/>
              <w:left w:type="dxa" w:w="120"/>
              <w:bottom w:type="dxa" w:w="120"/>
              <w:right w:type="dxa" w:w="120"/>
            </w:tcMar>
            <w:vAlign w:val="center"/>
          </w:tcPr>
          <w:p>
            <w:pPr>
              <w:spacing w:after="40" w:before="40"/>
              <w:jc w:val="left"/>
            </w:pPr>
            <w:r>
              <w:rPr>
                <w:rFonts w:ascii="Arial" w:cs="Arial" w:eastAsia="Arial" w:hAnsi="Arial"/>
                <w:b w:val="false"/>
                <w:bCs w:val="false"/>
                <w:color w:val="334155"/>
                <w:sz w:val="22"/>
                <w:szCs w:val="22"/>
              </w:rPr>
              <w:t xml:space="preserve">Urusan Pemerintahan Wajib yang Tidak Berkaitan dengan Pelayanan Dasar</w:t>
            </w:r>
          </w:p>
        </w:tc>
      </w:tr>
      <w:tr>
        <w:trPr>
          <w:tblHeader w:val="false"/>
        </w:trPr>
        <w:tc>
          <w:tcPr>
            <w:tcW w:type="pct" w:w="50%"/>
            <w:tcBorders>
              <w:top w:val="single" w:color="CBD5E1" w:sz="1"/>
              <w:left w:val="single" w:color="CBD5E1" w:sz="1"/>
              <w:bottom w:val="single" w:color="CBD5E1" w:sz="1"/>
              <w:right w:val="single" w:color="CBD5E1" w:sz="1"/>
            </w:tcBorders>
            <w:tcMar>
              <w:top w:type="dxa" w:w="120"/>
              <w:left w:type="dxa" w:w="120"/>
              <w:bottom w:type="dxa" w:w="120"/>
              <w:right w:type="dxa" w:w="120"/>
            </w:tcMar>
            <w:vAlign w:val="center"/>
          </w:tcPr>
          <w:p>
            <w:pPr>
              <w:spacing w:after="40" w:before="40"/>
              <w:jc w:val="left"/>
            </w:pPr>
            <w:r>
              <w:rPr>
                <w:rFonts w:ascii="Arial" w:cs="Arial" w:eastAsia="Arial" w:hAnsi="Arial"/>
                <w:b w:val="false"/>
                <w:bCs w:val="false"/>
                <w:color w:val="334155"/>
                <w:sz w:val="22"/>
                <w:szCs w:val="22"/>
              </w:rPr>
              <w:t xml:space="preserve">Bidang Urusan</w:t>
            </w:r>
          </w:p>
        </w:tc>
        <w:tc>
          <w:tcPr>
            <w:tcW w:type="pct" w:w="50%"/>
            <w:tcBorders>
              <w:top w:val="single" w:color="CBD5E1" w:sz="1"/>
              <w:left w:val="single" w:color="CBD5E1" w:sz="1"/>
              <w:bottom w:val="single" w:color="CBD5E1" w:sz="1"/>
              <w:right w:val="single" w:color="CBD5E1" w:sz="1"/>
            </w:tcBorders>
            <w:tcMar>
              <w:top w:type="dxa" w:w="120"/>
              <w:left w:type="dxa" w:w="120"/>
              <w:bottom w:type="dxa" w:w="120"/>
              <w:right w:type="dxa" w:w="120"/>
            </w:tcMar>
            <w:vAlign w:val="center"/>
          </w:tcPr>
          <w:p>
            <w:pPr>
              <w:spacing w:after="40" w:before="40"/>
              <w:jc w:val="left"/>
            </w:pPr>
            <w:r>
              <w:rPr>
                <w:rFonts w:ascii="Arial" w:cs="Arial" w:eastAsia="Arial" w:hAnsi="Arial"/>
                <w:b w:val="false"/>
                <w:bCs w:val="false"/>
                <w:color w:val="334155"/>
                <w:sz w:val="22"/>
                <w:szCs w:val="22"/>
              </w:rPr>
              <w:t xml:space="preserve">Pemberdayaan Perempuan dan Perlindungan Anak</w:t>
            </w:r>
          </w:p>
        </w:tc>
      </w:tr>
      <w:tr>
        <w:trPr>
          <w:tblHeader w:val="false"/>
        </w:trPr>
        <w:tc>
          <w:tcPr>
            <w:tcW w:type="pct" w:w="50%"/>
            <w:tcBorders>
              <w:top w:val="single" w:color="CBD5E1" w:sz="1"/>
              <w:left w:val="single" w:color="CBD5E1" w:sz="1"/>
              <w:bottom w:val="single" w:color="CBD5E1" w:sz="1"/>
              <w:right w:val="single" w:color="CBD5E1" w:sz="1"/>
            </w:tcBorders>
            <w:tcMar>
              <w:top w:type="dxa" w:w="120"/>
              <w:left w:type="dxa" w:w="120"/>
              <w:bottom w:type="dxa" w:w="120"/>
              <w:right w:type="dxa" w:w="120"/>
            </w:tcMar>
            <w:vAlign w:val="center"/>
          </w:tcPr>
          <w:p>
            <w:pPr>
              <w:spacing w:after="40" w:before="40"/>
              <w:jc w:val="left"/>
            </w:pPr>
            <w:r>
              <w:rPr>
                <w:rFonts w:ascii="Arial" w:cs="Arial" w:eastAsia="Arial" w:hAnsi="Arial"/>
                <w:b w:val="false"/>
                <w:bCs w:val="false"/>
                <w:color w:val="334155"/>
                <w:sz w:val="22"/>
                <w:szCs w:val="22"/>
              </w:rPr>
              <w:t xml:space="preserve">Unit Organisasi</w:t>
            </w:r>
          </w:p>
        </w:tc>
        <w:tc>
          <w:tcPr>
            <w:tcW w:type="pct" w:w="50%"/>
            <w:tcBorders>
              <w:top w:val="single" w:color="CBD5E1" w:sz="1"/>
              <w:left w:val="single" w:color="CBD5E1" w:sz="1"/>
              <w:bottom w:val="single" w:color="CBD5E1" w:sz="1"/>
              <w:right w:val="single" w:color="CBD5E1" w:sz="1"/>
            </w:tcBorders>
            <w:tcMar>
              <w:top w:type="dxa" w:w="120"/>
              <w:left w:type="dxa" w:w="120"/>
              <w:bottom w:type="dxa" w:w="120"/>
              <w:right w:type="dxa" w:w="120"/>
            </w:tcMar>
            <w:vAlign w:val="center"/>
          </w:tcPr>
          <w:p>
            <w:pPr>
              <w:spacing w:after="40" w:before="40"/>
              <w:jc w:val="left"/>
            </w:pPr>
            <w:r>
              <w:rPr>
                <w:rFonts w:ascii="Arial" w:cs="Arial" w:eastAsia="Arial" w:hAnsi="Arial"/>
                <w:b w:val="false"/>
                <w:bCs w:val="false"/>
                <w:color w:val="334155"/>
                <w:sz w:val="22"/>
                <w:szCs w:val="22"/>
              </w:rPr>
              <w:t xml:space="preserve">Dinas Pemberdayaan Perempuan dan Perlindungan Anak, Pengendalian Penduduk dan Keluarga Berencana (DP3AP2KB)</w:t>
            </w:r>
          </w:p>
        </w:tc>
      </w:tr>
      <w:tr>
        <w:trPr>
          <w:tblHeader w:val="false"/>
        </w:trPr>
        <w:tc>
          <w:tcPr>
            <w:tcW w:type="pct" w:w="50%"/>
            <w:tcBorders>
              <w:top w:val="single" w:color="CBD5E1" w:sz="1"/>
              <w:left w:val="single" w:color="CBD5E1" w:sz="1"/>
              <w:bottom w:val="single" w:color="CBD5E1" w:sz="1"/>
              <w:right w:val="single" w:color="CBD5E1" w:sz="1"/>
            </w:tcBorders>
            <w:tcMar>
              <w:top w:type="dxa" w:w="120"/>
              <w:left w:type="dxa" w:w="120"/>
              <w:bottom w:type="dxa" w:w="120"/>
              <w:right w:type="dxa" w:w="120"/>
            </w:tcMar>
            <w:vAlign w:val="center"/>
          </w:tcPr>
          <w:p>
            <w:pPr>
              <w:spacing w:after="40" w:before="40"/>
              <w:jc w:val="left"/>
            </w:pPr>
            <w:r>
              <w:rPr>
                <w:rFonts w:ascii="Arial" w:cs="Arial" w:eastAsia="Arial" w:hAnsi="Arial"/>
                <w:b w:val="false"/>
                <w:bCs w:val="false"/>
                <w:color w:val="334155"/>
                <w:sz w:val="22"/>
                <w:szCs w:val="22"/>
              </w:rPr>
              <w:t xml:space="preserve">Program</w:t>
            </w:r>
          </w:p>
        </w:tc>
        <w:tc>
          <w:tcPr>
            <w:tcW w:type="pct" w:w="50%"/>
            <w:tcBorders>
              <w:top w:val="single" w:color="CBD5E1" w:sz="1"/>
              <w:left w:val="single" w:color="CBD5E1" w:sz="1"/>
              <w:bottom w:val="single" w:color="CBD5E1" w:sz="1"/>
              <w:right w:val="single" w:color="CBD5E1" w:sz="1"/>
            </w:tcBorders>
            <w:tcMar>
              <w:top w:type="dxa" w:w="120"/>
              <w:left w:type="dxa" w:w="120"/>
              <w:bottom w:type="dxa" w:w="120"/>
              <w:right w:type="dxa" w:w="120"/>
            </w:tcMar>
            <w:vAlign w:val="center"/>
          </w:tcPr>
          <w:p>
            <w:pPr>
              <w:spacing w:after="40" w:before="40"/>
              <w:jc w:val="left"/>
            </w:pPr>
            <w:r>
              <w:rPr>
                <w:rFonts w:ascii="Arial" w:cs="Arial" w:eastAsia="Arial" w:hAnsi="Arial"/>
                <w:b w:val="false"/>
                <w:bCs w:val="false"/>
                <w:color w:val="334155"/>
                <w:sz w:val="22"/>
                <w:szCs w:val="22"/>
              </w:rPr>
              <w:t xml:space="preserve">Program Pengarusutamaan Gender dan Pemberdayaan Perempuan</w:t>
            </w:r>
          </w:p>
        </w:tc>
      </w:tr>
      <w:tr>
        <w:trPr>
          <w:tblHeader w:val="false"/>
        </w:trPr>
        <w:tc>
          <w:tcPr>
            <w:tcW w:type="pct" w:w="50%"/>
            <w:tcBorders>
              <w:top w:val="single" w:color="CBD5E1" w:sz="1"/>
              <w:left w:val="single" w:color="CBD5E1" w:sz="1"/>
              <w:bottom w:val="single" w:color="CBD5E1" w:sz="1"/>
              <w:right w:val="single" w:color="CBD5E1" w:sz="1"/>
            </w:tcBorders>
            <w:tcMar>
              <w:top w:type="dxa" w:w="120"/>
              <w:left w:type="dxa" w:w="120"/>
              <w:bottom w:type="dxa" w:w="120"/>
              <w:right w:type="dxa" w:w="120"/>
            </w:tcMar>
            <w:vAlign w:val="center"/>
          </w:tcPr>
          <w:p>
            <w:pPr>
              <w:spacing w:after="40" w:before="40"/>
              <w:jc w:val="left"/>
            </w:pPr>
            <w:r>
              <w:rPr>
                <w:rFonts w:ascii="Arial" w:cs="Arial" w:eastAsia="Arial" w:hAnsi="Arial"/>
                <w:b w:val="false"/>
                <w:bCs w:val="false"/>
                <w:color w:val="334155"/>
                <w:sz w:val="22"/>
                <w:szCs w:val="22"/>
              </w:rPr>
              <w:t xml:space="preserve">Kegiatan</w:t>
            </w:r>
          </w:p>
        </w:tc>
        <w:tc>
          <w:tcPr>
            <w:tcW w:type="pct" w:w="50%"/>
            <w:tcBorders>
              <w:top w:val="single" w:color="CBD5E1" w:sz="1"/>
              <w:left w:val="single" w:color="CBD5E1" w:sz="1"/>
              <w:bottom w:val="single" w:color="CBD5E1" w:sz="1"/>
              <w:right w:val="single" w:color="CBD5E1" w:sz="1"/>
            </w:tcBorders>
            <w:tcMar>
              <w:top w:type="dxa" w:w="120"/>
              <w:left w:type="dxa" w:w="120"/>
              <w:bottom w:type="dxa" w:w="120"/>
              <w:right w:type="dxa" w:w="120"/>
            </w:tcMar>
            <w:vAlign w:val="center"/>
          </w:tcPr>
          <w:p>
            <w:pPr>
              <w:spacing w:after="40" w:before="40"/>
              <w:jc w:val="left"/>
            </w:pPr>
            <w:r>
              <w:rPr>
                <w:rFonts w:ascii="Arial" w:cs="Arial" w:eastAsia="Arial" w:hAnsi="Arial"/>
                <w:b w:val="false"/>
                <w:bCs w:val="false"/>
                <w:color w:val="334155"/>
                <w:sz w:val="22"/>
                <w:szCs w:val="22"/>
              </w:rPr>
              <w:t xml:space="preserve">Pelembagaan Pengarusutamaan Gender (PUG) pada Lembaga Pemerintah Kewenangan Kabupaten/Kota</w:t>
            </w:r>
          </w:p>
        </w:tc>
      </w:tr>
      <w:tr>
        <w:trPr>
          <w:tblHeader w:val="false"/>
        </w:trPr>
        <w:tc>
          <w:tcPr>
            <w:tcW w:type="pct" w:w="50%"/>
            <w:tcBorders>
              <w:top w:val="single" w:color="CBD5E1" w:sz="1"/>
              <w:left w:val="single" w:color="CBD5E1" w:sz="1"/>
              <w:bottom w:val="single" w:color="CBD5E1" w:sz="1"/>
              <w:right w:val="single" w:color="CBD5E1" w:sz="1"/>
            </w:tcBorders>
            <w:tcMar>
              <w:top w:type="dxa" w:w="120"/>
              <w:left w:type="dxa" w:w="120"/>
              <w:bottom w:type="dxa" w:w="120"/>
              <w:right w:type="dxa" w:w="120"/>
            </w:tcMar>
            <w:vAlign w:val="center"/>
          </w:tcPr>
          <w:p>
            <w:pPr>
              <w:spacing w:after="40" w:before="40"/>
              <w:jc w:val="left"/>
            </w:pPr>
            <w:r>
              <w:rPr>
                <w:rFonts w:ascii="Arial" w:cs="Arial" w:eastAsia="Arial" w:hAnsi="Arial"/>
                <w:b w:val="false"/>
                <w:bCs w:val="false"/>
                <w:color w:val="334155"/>
                <w:sz w:val="22"/>
                <w:szCs w:val="22"/>
              </w:rPr>
              <w:t xml:space="preserve">Sub Kegiatan</w:t>
            </w:r>
          </w:p>
        </w:tc>
        <w:tc>
          <w:tcPr>
            <w:tcW w:type="pct" w:w="50%"/>
            <w:tcBorders>
              <w:top w:val="single" w:color="CBD5E1" w:sz="1"/>
              <w:left w:val="single" w:color="CBD5E1" w:sz="1"/>
              <w:bottom w:val="single" w:color="CBD5E1" w:sz="1"/>
              <w:right w:val="single" w:color="CBD5E1" w:sz="1"/>
            </w:tcBorders>
            <w:tcMar>
              <w:top w:type="dxa" w:w="120"/>
              <w:left w:type="dxa" w:w="120"/>
              <w:bottom w:type="dxa" w:w="120"/>
              <w:right w:type="dxa" w:w="120"/>
            </w:tcMar>
            <w:vAlign w:val="center"/>
          </w:tcPr>
          <w:p>
            <w:pPr>
              <w:spacing w:after="40" w:before="40"/>
              <w:jc w:val="left"/>
            </w:pPr>
            <w:r>
              <w:rPr>
                <w:rFonts w:ascii="Arial" w:cs="Arial" w:eastAsia="Arial" w:hAnsi="Arial"/>
                <w:b w:val="false"/>
                <w:bCs w:val="false"/>
                <w:color w:val="334155"/>
                <w:sz w:val="22"/>
                <w:szCs w:val="22"/>
              </w:rPr>
              <w:t xml:space="preserve">Pendampingan Penyelenggaraan PUG Kewenangan Kabupaten/Kota</w:t>
            </w:r>
          </w:p>
        </w:tc>
      </w:tr>
      <w:tr>
        <w:trPr>
          <w:tblHeader w:val="false"/>
        </w:trPr>
        <w:tc>
          <w:tcPr>
            <w:tcW w:type="pct" w:w="50%"/>
            <w:tcBorders>
              <w:top w:val="single" w:color="CBD5E1" w:sz="1"/>
              <w:left w:val="single" w:color="CBD5E1" w:sz="1"/>
              <w:bottom w:val="single" w:color="CBD5E1" w:sz="1"/>
              <w:right w:val="single" w:color="CBD5E1" w:sz="1"/>
            </w:tcBorders>
            <w:tcMar>
              <w:top w:type="dxa" w:w="120"/>
              <w:left w:type="dxa" w:w="120"/>
              <w:bottom w:type="dxa" w:w="120"/>
              <w:right w:type="dxa" w:w="120"/>
            </w:tcMar>
            <w:vAlign w:val="center"/>
          </w:tcPr>
          <w:p>
            <w:pPr>
              <w:spacing w:after="40" w:before="40"/>
              <w:jc w:val="left"/>
            </w:pPr>
            <w:r>
              <w:rPr>
                <w:rFonts w:ascii="Arial" w:cs="Arial" w:eastAsia="Arial" w:hAnsi="Arial"/>
                <w:b w:val="false"/>
                <w:bCs w:val="false"/>
                <w:color w:val="334155"/>
                <w:sz w:val="22"/>
                <w:szCs w:val="22"/>
              </w:rPr>
              <w:t xml:space="preserve">Kode Sub Kegiatan</w:t>
            </w:r>
          </w:p>
        </w:tc>
        <w:tc>
          <w:tcPr>
            <w:tcW w:type="pct" w:w="50%"/>
            <w:tcBorders>
              <w:top w:val="single" w:color="CBD5E1" w:sz="1"/>
              <w:left w:val="single" w:color="CBD5E1" w:sz="1"/>
              <w:bottom w:val="single" w:color="CBD5E1" w:sz="1"/>
              <w:right w:val="single" w:color="CBD5E1" w:sz="1"/>
            </w:tcBorders>
            <w:tcMar>
              <w:top w:type="dxa" w:w="120"/>
              <w:left w:type="dxa" w:w="120"/>
              <w:bottom w:type="dxa" w:w="120"/>
              <w:right w:type="dxa" w:w="120"/>
            </w:tcMar>
            <w:vAlign w:val="center"/>
          </w:tcPr>
          <w:p>
            <w:pPr>
              <w:spacing w:after="40" w:before="40"/>
              <w:jc w:val="left"/>
            </w:pPr>
            <w:r>
              <w:rPr>
                <w:rFonts w:ascii="Arial" w:cs="Arial" w:eastAsia="Arial" w:hAnsi="Arial"/>
                <w:b w:val="false"/>
                <w:bCs w:val="false"/>
                <w:color w:val="334155"/>
                <w:sz w:val="22"/>
                <w:szCs w:val="22"/>
              </w:rPr>
              <w:t xml:space="preserve">2.08.02.2.01.0011</w:t>
            </w:r>
          </w:p>
        </w:tc>
      </w:tr>
      <w:tr>
        <w:trPr>
          <w:tblHeader w:val="false"/>
        </w:trPr>
        <w:tc>
          <w:tcPr>
            <w:tcW w:type="pct" w:w="50%"/>
            <w:tcBorders>
              <w:top w:val="single" w:color="CBD5E1" w:sz="1"/>
              <w:left w:val="single" w:color="CBD5E1" w:sz="1"/>
              <w:bottom w:val="single" w:color="CBD5E1" w:sz="1"/>
              <w:right w:val="single" w:color="CBD5E1" w:sz="1"/>
            </w:tcBorders>
            <w:tcMar>
              <w:top w:type="dxa" w:w="120"/>
              <w:left w:type="dxa" w:w="120"/>
              <w:bottom w:type="dxa" w:w="120"/>
              <w:right w:type="dxa" w:w="120"/>
            </w:tcMar>
            <w:vAlign w:val="center"/>
          </w:tcPr>
          <w:p>
            <w:pPr>
              <w:spacing w:after="40" w:before="40"/>
              <w:jc w:val="left"/>
            </w:pPr>
            <w:r>
              <w:rPr>
                <w:rFonts w:ascii="Arial" w:cs="Arial" w:eastAsia="Arial" w:hAnsi="Arial"/>
                <w:b w:val="false"/>
                <w:bCs w:val="false"/>
                <w:color w:val="334155"/>
                <w:sz w:val="22"/>
                <w:szCs w:val="22"/>
              </w:rPr>
              <w:t xml:space="preserve">Sumber Dana</w:t>
            </w:r>
          </w:p>
        </w:tc>
        <w:tc>
          <w:tcPr>
            <w:tcW w:type="pct" w:w="50%"/>
            <w:tcBorders>
              <w:top w:val="single" w:color="CBD5E1" w:sz="1"/>
              <w:left w:val="single" w:color="CBD5E1" w:sz="1"/>
              <w:bottom w:val="single" w:color="CBD5E1" w:sz="1"/>
              <w:right w:val="single" w:color="CBD5E1" w:sz="1"/>
            </w:tcBorders>
            <w:tcMar>
              <w:top w:type="dxa" w:w="120"/>
              <w:left w:type="dxa" w:w="120"/>
              <w:bottom w:type="dxa" w:w="120"/>
              <w:right w:type="dxa" w:w="120"/>
            </w:tcMar>
            <w:vAlign w:val="center"/>
          </w:tcPr>
          <w:p>
            <w:pPr>
              <w:spacing w:after="40" w:before="40"/>
              <w:jc w:val="left"/>
            </w:pPr>
            <w:r>
              <w:rPr>
                <w:rFonts w:ascii="Arial" w:cs="Arial" w:eastAsia="Arial" w:hAnsi="Arial"/>
                <w:b w:val="false"/>
                <w:bCs w:val="false"/>
                <w:color w:val="334155"/>
                <w:sz w:val="22"/>
                <w:szCs w:val="22"/>
              </w:rPr>
              <w:t xml:space="preserve">Pendapatan Asli Daerah (PAD)</w:t>
            </w:r>
          </w:p>
        </w:tc>
      </w:tr>
      <w:tr>
        <w:trPr>
          <w:tblHeader w:val="false"/>
        </w:trPr>
        <w:tc>
          <w:tcPr>
            <w:tcW w:type="pct" w:w="50%"/>
            <w:tcBorders>
              <w:top w:val="single" w:color="CBD5E1" w:sz="1"/>
              <w:left w:val="single" w:color="CBD5E1" w:sz="1"/>
              <w:bottom w:val="single" w:color="CBD5E1" w:sz="1"/>
              <w:right w:val="single" w:color="CBD5E1" w:sz="1"/>
            </w:tcBorders>
            <w:tcMar>
              <w:top w:type="dxa" w:w="120"/>
              <w:left w:type="dxa" w:w="120"/>
              <w:bottom w:type="dxa" w:w="120"/>
              <w:right w:type="dxa" w:w="120"/>
            </w:tcMar>
            <w:vAlign w:val="center"/>
          </w:tcPr>
          <w:p>
            <w:pPr>
              <w:spacing w:after="40" w:before="40"/>
              <w:jc w:val="left"/>
            </w:pPr>
            <w:r>
              <w:rPr>
                <w:rFonts w:ascii="Arial" w:cs="Arial" w:eastAsia="Arial" w:hAnsi="Arial"/>
                <w:b w:val="false"/>
                <w:bCs w:val="false"/>
                <w:color w:val="334155"/>
                <w:sz w:val="22"/>
                <w:szCs w:val="22"/>
              </w:rPr>
              <w:t xml:space="preserve">Lokasi</w:t>
            </w:r>
          </w:p>
        </w:tc>
        <w:tc>
          <w:tcPr>
            <w:tcW w:type="pct" w:w="50%"/>
            <w:tcBorders>
              <w:top w:val="single" w:color="CBD5E1" w:sz="1"/>
              <w:left w:val="single" w:color="CBD5E1" w:sz="1"/>
              <w:bottom w:val="single" w:color="CBD5E1" w:sz="1"/>
              <w:right w:val="single" w:color="CBD5E1" w:sz="1"/>
            </w:tcBorders>
            <w:tcMar>
              <w:top w:type="dxa" w:w="120"/>
              <w:left w:type="dxa" w:w="120"/>
              <w:bottom w:type="dxa" w:w="120"/>
              <w:right w:type="dxa" w:w="120"/>
            </w:tcMar>
            <w:vAlign w:val="center"/>
          </w:tcPr>
          <w:p>
            <w:pPr>
              <w:spacing w:after="40" w:before="40"/>
              <w:jc w:val="left"/>
            </w:pPr>
            <w:r>
              <w:rPr>
                <w:rFonts w:ascii="Arial" w:cs="Arial" w:eastAsia="Arial" w:hAnsi="Arial"/>
                <w:b w:val="false"/>
                <w:bCs w:val="false"/>
                <w:color w:val="334155"/>
                <w:sz w:val="22"/>
                <w:szCs w:val="22"/>
              </w:rPr>
              <w:t xml:space="preserve">Seluruh wilayah Kabupaten Bogor</w:t>
            </w:r>
          </w:p>
        </w:tc>
      </w:tr>
      <w:tr>
        <w:trPr>
          <w:tblHeader w:val="false"/>
        </w:trPr>
        <w:tc>
          <w:tcPr>
            <w:tcW w:type="pct" w:w="50%"/>
            <w:tcBorders>
              <w:top w:val="single" w:color="CBD5E1" w:sz="1"/>
              <w:left w:val="single" w:color="CBD5E1" w:sz="1"/>
              <w:bottom w:val="single" w:color="CBD5E1" w:sz="1"/>
              <w:right w:val="single" w:color="CBD5E1" w:sz="1"/>
            </w:tcBorders>
            <w:tcMar>
              <w:top w:type="dxa" w:w="120"/>
              <w:left w:type="dxa" w:w="120"/>
              <w:bottom w:type="dxa" w:w="120"/>
              <w:right w:type="dxa" w:w="120"/>
            </w:tcMar>
            <w:vAlign w:val="center"/>
          </w:tcPr>
          <w:p>
            <w:pPr>
              <w:spacing w:after="40" w:before="40"/>
              <w:jc w:val="left"/>
            </w:pPr>
            <w:r>
              <w:rPr>
                <w:rFonts w:ascii="Arial" w:cs="Arial" w:eastAsia="Arial" w:hAnsi="Arial"/>
                <w:b w:val="false"/>
                <w:bCs w:val="false"/>
                <w:color w:val="334155"/>
                <w:sz w:val="22"/>
                <w:szCs w:val="22"/>
              </w:rPr>
              <w:t xml:space="preserve">Waktu Pelaksanaan</w:t>
            </w:r>
          </w:p>
        </w:tc>
        <w:tc>
          <w:tcPr>
            <w:tcW w:type="pct" w:w="50%"/>
            <w:tcBorders>
              <w:top w:val="single" w:color="CBD5E1" w:sz="1"/>
              <w:left w:val="single" w:color="CBD5E1" w:sz="1"/>
              <w:bottom w:val="single" w:color="CBD5E1" w:sz="1"/>
              <w:right w:val="single" w:color="CBD5E1" w:sz="1"/>
            </w:tcBorders>
            <w:tcMar>
              <w:top w:type="dxa" w:w="120"/>
              <w:left w:type="dxa" w:w="120"/>
              <w:bottom w:type="dxa" w:w="120"/>
              <w:right w:type="dxa" w:w="120"/>
            </w:tcMar>
            <w:vAlign w:val="center"/>
          </w:tcPr>
          <w:p>
            <w:pPr>
              <w:spacing w:after="40" w:before="40"/>
              <w:jc w:val="left"/>
            </w:pPr>
            <w:r>
              <w:rPr>
                <w:rFonts w:ascii="Arial" w:cs="Arial" w:eastAsia="Arial" w:hAnsi="Arial"/>
                <w:b w:val="false"/>
                <w:bCs w:val="false"/>
                <w:color w:val="334155"/>
                <w:sz w:val="22"/>
                <w:szCs w:val="22"/>
              </w:rPr>
              <w:t xml:space="preserve">Januari s.d. Desember 2026</w:t>
            </w:r>
          </w:p>
        </w:tc>
      </w:tr>
    </w:tbl>
    <w:p>
      <w:pPr>
        <w:spacing w:line="240"/>
      </w:pPr>
    </w:p>
    <w:p>
      <w:pPr>
        <w:spacing w:before="80" w:line="240"/>
        <w:jc w:val="both"/>
      </w:pPr>
      <w:r>
        <w:rPr>
          <w:rFonts w:ascii="Arial" w:cs="Arial" w:eastAsia="Arial" w:hAnsi="Arial"/>
          <w:b w:val="false"/>
          <w:bCs w:val="false"/>
          <w:color w:val="334155"/>
          <w:sz w:val="24"/>
          <w:szCs w:val="24"/>
        </w:rPr>
        <w:t xml:space="preserve">---</w:t>
      </w:r>
    </w:p>
    <w:p>
      <w:pPr>
        <w:spacing w:line="240"/>
      </w:pPr>
    </w:p>
    <w:p>
      <w:pPr>
        <w:pStyle w:val="Heading2"/>
        <w:spacing w:after="120" w:before="240"/>
      </w:pPr>
      <w:r>
        <w:t xml:space="preserve">B. RINGKASAN ANGGARAN</w:t>
      </w:r>
    </w:p>
    <w:p>
      <w:pPr>
        <w:spacing w:line="240"/>
      </w:pPr>
    </w:p>
    <w:p>
      <w:pPr>
        <w:spacing w:before="80" w:line="240"/>
        <w:jc w:val="both"/>
      </w:pPr>
      <w:r>
        <w:rPr>
          <w:rFonts w:ascii="Arial" w:cs="Arial" w:eastAsia="Arial" w:hAnsi="Arial"/>
          <w:b w:val="false"/>
          <w:bCs w:val="false"/>
          <w:color w:val="334155"/>
          <w:sz w:val="24"/>
          <w:szCs w:val="24"/>
        </w:rPr>
        <w:t xml:space="preserve">Total alokasi anggaran untuk sub kegiatan ini Tahun 2026 adalah</w:t>
      </w:r>
      <w:r>
        <w:rPr>
          <w:rFonts w:ascii="Arial" w:cs="Arial" w:eastAsia="Arial" w:hAnsi="Arial"/>
          <w:b/>
          <w:bCs/>
          <w:color w:val="334155"/>
          <w:sz w:val="24"/>
          <w:szCs w:val="24"/>
        </w:rPr>
        <w:t xml:space="preserve">Rp499.999.625,00</w:t>
      </w:r>
      <w:r>
        <w:rPr>
          <w:rFonts w:ascii="Arial" w:cs="Arial" w:eastAsia="Arial" w:hAnsi="Arial"/>
          <w:b w:val="false"/>
          <w:bCs w:val="false"/>
          <w:color w:val="334155"/>
          <w:sz w:val="24"/>
          <w:szCs w:val="24"/>
        </w:rPr>
        <w:t xml:space="preserve">(Empat Ratus Sembilan Puluh Sembilan Juta Sembilan Ratus Sembilan Puluh Sembilan Ribu Enam Ratus Dua Puluh Lima Rupiah), yang seluruhnya bersumber dari PAD.</w:t>
      </w:r>
    </w:p>
    <w:p>
      <w:pPr>
        <w:spacing w:line="240"/>
      </w:pPr>
    </w:p>
    <w:p>
      <w:pPr>
        <w:spacing w:before="80" w:line="240"/>
        <w:jc w:val="both"/>
      </w:pPr>
      <w:r>
        <w:rPr>
          <w:rFonts w:ascii="Arial" w:cs="Arial" w:eastAsia="Arial" w:hAnsi="Arial"/>
          <w:b w:val="false"/>
          <w:bCs w:val="false"/>
          <w:color w:val="334155"/>
          <w:sz w:val="24"/>
          <w:szCs w:val="24"/>
        </w:rPr>
        <w:t xml:space="preserve">Dokumen menunjukkan tidak ada perubahan antara pagu sebelum dan sesudah (selisih Rp0), menandakan anggaran ini sudah final dan disetujui.</w:t>
      </w:r>
    </w:p>
    <w:p>
      <w:pPr>
        <w:spacing w:line="240"/>
      </w:pPr>
    </w:p>
    <w:p>
      <w:pPr>
        <w:pStyle w:val="Heading3"/>
        <w:spacing w:after="120" w:before="240"/>
      </w:pPr>
      <w:r>
        <w:t xml:space="preserve">Rincian Belanja per Rekening</w:t>
      </w:r>
    </w:p>
    <w:p>
      <w:pPr>
        <w:spacing w:line="240"/>
      </w:pPr>
    </w:p>
    <w:tbl>
      <w:tblPr>
        <w:tblW w:type="pct" w:w="100%"/>
        <w:jc w:val="center"/>
        <w:tblBorders>
          <w:top w:val="single" w:color="4f46e5" w:sz="2"/>
          <w:left w:val="single" w:color="E2E8F0" w:sz="1"/>
          <w:bottom w:val="single" w:color="4f46e5" w:sz="2"/>
          <w:right w:val="single" w:color="E2E8F0" w:sz="1"/>
          <w:insideH w:val="single" w:color="E2E8F0" w:sz="1"/>
          <w:insideV w:val="single" w:color="E2E8F0" w:sz="1"/>
        </w:tblBorders>
      </w:tblPr>
      <w:tblGrid>
        <w:gridCol w:w="100"/>
        <w:gridCol w:w="100"/>
        <w:gridCol w:w="100"/>
        <w:gridCol w:w="100"/>
      </w:tblGrid>
      <w:tr>
        <w:trPr>
          <w:tblHeader/>
        </w:trPr>
        <w:tc>
          <w:tcPr>
            <w:tcW w:type="pct" w:w="25%"/>
            <w:tcBorders>
              <w:top w:val="single" w:color="CBD5E1" w:sz="1"/>
              <w:left w:val="single" w:color="CBD5E1" w:sz="1"/>
              <w:bottom w:val="single" w:color="CBD5E1" w:sz="1"/>
              <w:right w:val="single" w:color="CBD5E1" w:sz="1"/>
            </w:tcBorders>
            <w:shd w:fill="4f46e5" w:val="clear"/>
            <w:tcMar>
              <w:top w:type="dxa" w:w="120"/>
              <w:left w:type="dxa" w:w="120"/>
              <w:bottom w:type="dxa" w:w="120"/>
              <w:right w:type="dxa" w:w="120"/>
            </w:tcMar>
            <w:vAlign w:val="center"/>
          </w:tcPr>
          <w:p>
            <w:pPr>
              <w:spacing w:after="40" w:before="40"/>
              <w:jc w:val="center"/>
            </w:pPr>
            <w:r>
              <w:rPr>
                <w:rFonts w:ascii="Arial" w:cs="Arial" w:eastAsia="Arial" w:hAnsi="Arial"/>
                <w:b/>
                <w:bCs/>
                <w:color w:val="FFFFFF"/>
                <w:sz w:val="24"/>
                <w:szCs w:val="24"/>
              </w:rPr>
              <w:t xml:space="preserve">Kode Rekening</w:t>
            </w:r>
          </w:p>
        </w:tc>
        <w:tc>
          <w:tcPr>
            <w:tcW w:type="pct" w:w="25%"/>
            <w:tcBorders>
              <w:top w:val="single" w:color="CBD5E1" w:sz="1"/>
              <w:left w:val="single" w:color="CBD5E1" w:sz="1"/>
              <w:bottom w:val="single" w:color="CBD5E1" w:sz="1"/>
              <w:right w:val="single" w:color="CBD5E1" w:sz="1"/>
            </w:tcBorders>
            <w:shd w:fill="4f46e5" w:val="clear"/>
            <w:tcMar>
              <w:top w:type="dxa" w:w="120"/>
              <w:left w:type="dxa" w:w="120"/>
              <w:bottom w:type="dxa" w:w="120"/>
              <w:right w:type="dxa" w:w="120"/>
            </w:tcMar>
            <w:vAlign w:val="center"/>
          </w:tcPr>
          <w:p>
            <w:pPr>
              <w:spacing w:after="40" w:before="40"/>
              <w:jc w:val="center"/>
            </w:pPr>
            <w:r>
              <w:rPr>
                <w:rFonts w:ascii="Arial" w:cs="Arial" w:eastAsia="Arial" w:hAnsi="Arial"/>
                <w:b/>
                <w:bCs/>
                <w:color w:val="FFFFFF"/>
                <w:sz w:val="24"/>
                <w:szCs w:val="24"/>
              </w:rPr>
              <w:t xml:space="preserve">Uraian Belanja</w:t>
            </w:r>
          </w:p>
        </w:tc>
        <w:tc>
          <w:tcPr>
            <w:tcW w:type="pct" w:w="25%"/>
            <w:tcBorders>
              <w:top w:val="single" w:color="CBD5E1" w:sz="1"/>
              <w:left w:val="single" w:color="CBD5E1" w:sz="1"/>
              <w:bottom w:val="single" w:color="CBD5E1" w:sz="1"/>
              <w:right w:val="single" w:color="CBD5E1" w:sz="1"/>
            </w:tcBorders>
            <w:shd w:fill="4f46e5" w:val="clear"/>
            <w:tcMar>
              <w:top w:type="dxa" w:w="120"/>
              <w:left w:type="dxa" w:w="120"/>
              <w:bottom w:type="dxa" w:w="120"/>
              <w:right w:type="dxa" w:w="120"/>
            </w:tcMar>
            <w:vAlign w:val="center"/>
          </w:tcPr>
          <w:p>
            <w:pPr>
              <w:spacing w:after="40" w:before="40"/>
              <w:jc w:val="center"/>
            </w:pPr>
            <w:r>
              <w:rPr>
                <w:rFonts w:ascii="Arial" w:cs="Arial" w:eastAsia="Arial" w:hAnsi="Arial"/>
                <w:b/>
                <w:bCs/>
                <w:color w:val="FFFFFF"/>
                <w:sz w:val="24"/>
                <w:szCs w:val="24"/>
              </w:rPr>
              <w:t xml:space="preserve">Jumlah (Rp)</w:t>
            </w:r>
          </w:p>
        </w:tc>
        <w:tc>
          <w:tcPr>
            <w:tcW w:type="pct" w:w="25%"/>
            <w:tcBorders>
              <w:top w:val="single" w:color="CBD5E1" w:sz="1"/>
              <w:left w:val="single" w:color="CBD5E1" w:sz="1"/>
              <w:bottom w:val="single" w:color="CBD5E1" w:sz="1"/>
              <w:right w:val="single" w:color="CBD5E1" w:sz="1"/>
            </w:tcBorders>
            <w:shd w:fill="4f46e5" w:val="clear"/>
            <w:tcMar>
              <w:top w:type="dxa" w:w="120"/>
              <w:left w:type="dxa" w:w="120"/>
              <w:bottom w:type="dxa" w:w="120"/>
              <w:right w:type="dxa" w:w="120"/>
            </w:tcMar>
            <w:vAlign w:val="center"/>
          </w:tcPr>
          <w:p>
            <w:pPr>
              <w:spacing w:after="40" w:before="40"/>
              <w:jc w:val="center"/>
            </w:pPr>
            <w:r>
              <w:rPr>
                <w:rFonts w:ascii="Arial" w:cs="Arial" w:eastAsia="Arial" w:hAnsi="Arial"/>
                <w:b/>
                <w:bCs/>
                <w:color w:val="FFFFFF"/>
                <w:sz w:val="24"/>
                <w:szCs w:val="24"/>
              </w:rPr>
              <w:t xml:space="preserve">Persentase</w:t>
            </w:r>
          </w:p>
        </w:tc>
      </w:tr>
      <w:tr>
        <w:trPr>
          <w:tblHeader w:val="false"/>
        </w:trPr>
        <w:tc>
          <w:tcPr>
            <w:tcW w:type="pct" w:w="25%"/>
            <w:tcBorders>
              <w:top w:val="single" w:color="CBD5E1" w:sz="1"/>
              <w:left w:val="single" w:color="CBD5E1" w:sz="1"/>
              <w:bottom w:val="single" w:color="CBD5E1" w:sz="1"/>
              <w:right w:val="single" w:color="CBD5E1" w:sz="1"/>
            </w:tcBorders>
            <w:tcMar>
              <w:top w:type="dxa" w:w="120"/>
              <w:left w:type="dxa" w:w="120"/>
              <w:bottom w:type="dxa" w:w="120"/>
              <w:right w:type="dxa" w:w="120"/>
            </w:tcMar>
            <w:vAlign w:val="center"/>
          </w:tcPr>
          <w:p>
            <w:pPr>
              <w:spacing w:after="40" w:before="40"/>
              <w:jc w:val="left"/>
            </w:pPr>
            <w:r>
              <w:rPr>
                <w:rFonts w:ascii="Arial" w:cs="Arial" w:eastAsia="Arial" w:hAnsi="Arial"/>
                <w:b w:val="false"/>
                <w:bCs w:val="false"/>
                <w:color w:val="334155"/>
                <w:sz w:val="22"/>
                <w:szCs w:val="22"/>
              </w:rPr>
              <w:t xml:space="preserve">5.1.02.01</w:t>
            </w:r>
          </w:p>
        </w:tc>
        <w:tc>
          <w:tcPr>
            <w:tcW w:type="pct" w:w="25%"/>
            <w:tcBorders>
              <w:top w:val="single" w:color="CBD5E1" w:sz="1"/>
              <w:left w:val="single" w:color="CBD5E1" w:sz="1"/>
              <w:bottom w:val="single" w:color="CBD5E1" w:sz="1"/>
              <w:right w:val="single" w:color="CBD5E1" w:sz="1"/>
            </w:tcBorders>
            <w:tcMar>
              <w:top w:type="dxa" w:w="120"/>
              <w:left w:type="dxa" w:w="120"/>
              <w:bottom w:type="dxa" w:w="120"/>
              <w:right w:type="dxa" w:w="120"/>
            </w:tcMar>
            <w:vAlign w:val="center"/>
          </w:tcPr>
          <w:p>
            <w:pPr>
              <w:spacing w:after="40" w:before="40"/>
              <w:jc w:val="left"/>
            </w:pPr>
            <w:r>
              <w:rPr>
                <w:rFonts w:ascii="Arial" w:cs="Arial" w:eastAsia="Arial" w:hAnsi="Arial"/>
                <w:b w:val="false"/>
                <w:bCs w:val="false"/>
                <w:color w:val="334155"/>
                <w:sz w:val="22"/>
                <w:szCs w:val="22"/>
              </w:rPr>
              <w:t xml:space="preserve">Belanja Barang Pakai Habis</w:t>
            </w:r>
          </w:p>
        </w:tc>
        <w:tc>
          <w:tcPr>
            <w:tcW w:type="pct" w:w="25%"/>
            <w:tcBorders>
              <w:top w:val="single" w:color="CBD5E1" w:sz="1"/>
              <w:left w:val="single" w:color="CBD5E1" w:sz="1"/>
              <w:bottom w:val="single" w:color="CBD5E1" w:sz="1"/>
              <w:right w:val="single" w:color="CBD5E1" w:sz="1"/>
            </w:tcBorders>
            <w:tcMar>
              <w:top w:type="dxa" w:w="120"/>
              <w:left w:type="dxa" w:w="120"/>
              <w:bottom w:type="dxa" w:w="120"/>
              <w:right w:type="dxa" w:w="120"/>
            </w:tcMar>
            <w:vAlign w:val="center"/>
          </w:tcPr>
          <w:p>
            <w:pPr>
              <w:spacing w:after="40" w:before="40"/>
              <w:jc w:val="left"/>
            </w:pPr>
            <w:r>
              <w:rPr>
                <w:rFonts w:ascii="Arial" w:cs="Arial" w:eastAsia="Arial" w:hAnsi="Arial"/>
                <w:b w:val="false"/>
                <w:bCs w:val="false"/>
                <w:color w:val="334155"/>
                <w:sz w:val="22"/>
                <w:szCs w:val="22"/>
              </w:rPr>
              <w:t xml:space="preserve">172.876.625</w:t>
            </w:r>
          </w:p>
        </w:tc>
        <w:tc>
          <w:tcPr>
            <w:tcW w:type="pct" w:w="25%"/>
            <w:tcBorders>
              <w:top w:val="single" w:color="CBD5E1" w:sz="1"/>
              <w:left w:val="single" w:color="CBD5E1" w:sz="1"/>
              <w:bottom w:val="single" w:color="CBD5E1" w:sz="1"/>
              <w:right w:val="single" w:color="CBD5E1" w:sz="1"/>
            </w:tcBorders>
            <w:tcMar>
              <w:top w:type="dxa" w:w="120"/>
              <w:left w:type="dxa" w:w="120"/>
              <w:bottom w:type="dxa" w:w="120"/>
              <w:right w:type="dxa" w:w="120"/>
            </w:tcMar>
            <w:vAlign w:val="center"/>
          </w:tcPr>
          <w:p>
            <w:pPr>
              <w:spacing w:after="40" w:before="40"/>
              <w:jc w:val="left"/>
            </w:pPr>
            <w:r>
              <w:rPr>
                <w:rFonts w:ascii="Arial" w:cs="Arial" w:eastAsia="Arial" w:hAnsi="Arial"/>
                <w:b w:val="false"/>
                <w:bCs w:val="false"/>
                <w:color w:val="334155"/>
                <w:sz w:val="22"/>
                <w:szCs w:val="22"/>
              </w:rPr>
              <w:t xml:space="preserve">34,58%</w:t>
            </w:r>
          </w:p>
        </w:tc>
      </w:tr>
      <w:tr>
        <w:trPr>
          <w:tblHeader w:val="false"/>
        </w:trPr>
        <w:tc>
          <w:tcPr>
            <w:tcW w:type="pct" w:w="25%"/>
            <w:tcBorders>
              <w:top w:val="single" w:color="CBD5E1" w:sz="1"/>
              <w:left w:val="single" w:color="CBD5E1" w:sz="1"/>
              <w:bottom w:val="single" w:color="CBD5E1" w:sz="1"/>
              <w:right w:val="single" w:color="CBD5E1" w:sz="1"/>
            </w:tcBorders>
            <w:tcMar>
              <w:top w:type="dxa" w:w="120"/>
              <w:left w:type="dxa" w:w="120"/>
              <w:bottom w:type="dxa" w:w="120"/>
              <w:right w:type="dxa" w:w="120"/>
            </w:tcMar>
            <w:vAlign w:val="center"/>
          </w:tcPr>
          <w:p>
            <w:pPr>
              <w:spacing w:after="40" w:before="40"/>
              <w:jc w:val="left"/>
            </w:pPr>
            <w:r>
              <w:rPr>
                <w:rFonts w:ascii="Arial" w:cs="Arial" w:eastAsia="Arial" w:hAnsi="Arial"/>
                <w:b w:val="false"/>
                <w:bCs w:val="false"/>
                <w:color w:val="334155"/>
                <w:sz w:val="22"/>
                <w:szCs w:val="22"/>
              </w:rPr>
              <w:t xml:space="preserve">5.1.02.02</w:t>
            </w:r>
          </w:p>
        </w:tc>
        <w:tc>
          <w:tcPr>
            <w:tcW w:type="pct" w:w="25%"/>
            <w:tcBorders>
              <w:top w:val="single" w:color="CBD5E1" w:sz="1"/>
              <w:left w:val="single" w:color="CBD5E1" w:sz="1"/>
              <w:bottom w:val="single" w:color="CBD5E1" w:sz="1"/>
              <w:right w:val="single" w:color="CBD5E1" w:sz="1"/>
            </w:tcBorders>
            <w:tcMar>
              <w:top w:type="dxa" w:w="120"/>
              <w:left w:type="dxa" w:w="120"/>
              <w:bottom w:type="dxa" w:w="120"/>
              <w:right w:type="dxa" w:w="120"/>
            </w:tcMar>
            <w:vAlign w:val="center"/>
          </w:tcPr>
          <w:p>
            <w:pPr>
              <w:spacing w:after="40" w:before="40"/>
              <w:jc w:val="left"/>
            </w:pPr>
            <w:r>
              <w:rPr>
                <w:rFonts w:ascii="Arial" w:cs="Arial" w:eastAsia="Arial" w:hAnsi="Arial"/>
                <w:b w:val="false"/>
                <w:bCs w:val="false"/>
                <w:color w:val="334155"/>
                <w:sz w:val="22"/>
                <w:szCs w:val="22"/>
              </w:rPr>
              <w:t xml:space="preserve">Belanja Jasa</w:t>
            </w:r>
          </w:p>
        </w:tc>
        <w:tc>
          <w:tcPr>
            <w:tcW w:type="pct" w:w="25%"/>
            <w:tcBorders>
              <w:top w:val="single" w:color="CBD5E1" w:sz="1"/>
              <w:left w:val="single" w:color="CBD5E1" w:sz="1"/>
              <w:bottom w:val="single" w:color="CBD5E1" w:sz="1"/>
              <w:right w:val="single" w:color="CBD5E1" w:sz="1"/>
            </w:tcBorders>
            <w:tcMar>
              <w:top w:type="dxa" w:w="120"/>
              <w:left w:type="dxa" w:w="120"/>
              <w:bottom w:type="dxa" w:w="120"/>
              <w:right w:type="dxa" w:w="120"/>
            </w:tcMar>
            <w:vAlign w:val="center"/>
          </w:tcPr>
          <w:p>
            <w:pPr>
              <w:spacing w:after="40" w:before="40"/>
              <w:jc w:val="left"/>
            </w:pPr>
            <w:r>
              <w:rPr>
                <w:rFonts w:ascii="Arial" w:cs="Arial" w:eastAsia="Arial" w:hAnsi="Arial"/>
                <w:b w:val="false"/>
                <w:bCs w:val="false"/>
                <w:color w:val="334155"/>
                <w:sz w:val="22"/>
                <w:szCs w:val="22"/>
              </w:rPr>
              <w:t xml:space="preserve">13.400.000</w:t>
            </w:r>
          </w:p>
        </w:tc>
        <w:tc>
          <w:tcPr>
            <w:tcW w:type="pct" w:w="25%"/>
            <w:tcBorders>
              <w:top w:val="single" w:color="CBD5E1" w:sz="1"/>
              <w:left w:val="single" w:color="CBD5E1" w:sz="1"/>
              <w:bottom w:val="single" w:color="CBD5E1" w:sz="1"/>
              <w:right w:val="single" w:color="CBD5E1" w:sz="1"/>
            </w:tcBorders>
            <w:tcMar>
              <w:top w:type="dxa" w:w="120"/>
              <w:left w:type="dxa" w:w="120"/>
              <w:bottom w:type="dxa" w:w="120"/>
              <w:right w:type="dxa" w:w="120"/>
            </w:tcMar>
            <w:vAlign w:val="center"/>
          </w:tcPr>
          <w:p>
            <w:pPr>
              <w:spacing w:after="40" w:before="40"/>
              <w:jc w:val="left"/>
            </w:pPr>
            <w:r>
              <w:rPr>
                <w:rFonts w:ascii="Arial" w:cs="Arial" w:eastAsia="Arial" w:hAnsi="Arial"/>
                <w:b w:val="false"/>
                <w:bCs w:val="false"/>
                <w:color w:val="334155"/>
                <w:sz w:val="22"/>
                <w:szCs w:val="22"/>
              </w:rPr>
              <w:t xml:space="preserve">2,68%</w:t>
            </w:r>
          </w:p>
        </w:tc>
      </w:tr>
      <w:tr>
        <w:trPr>
          <w:tblHeader w:val="false"/>
        </w:trPr>
        <w:tc>
          <w:tcPr>
            <w:tcW w:type="pct" w:w="25%"/>
            <w:tcBorders>
              <w:top w:val="single" w:color="CBD5E1" w:sz="1"/>
              <w:left w:val="single" w:color="CBD5E1" w:sz="1"/>
              <w:bottom w:val="single" w:color="CBD5E1" w:sz="1"/>
              <w:right w:val="single" w:color="CBD5E1" w:sz="1"/>
            </w:tcBorders>
            <w:tcMar>
              <w:top w:type="dxa" w:w="120"/>
              <w:left w:type="dxa" w:w="120"/>
              <w:bottom w:type="dxa" w:w="120"/>
              <w:right w:type="dxa" w:w="120"/>
            </w:tcMar>
            <w:vAlign w:val="center"/>
          </w:tcPr>
          <w:p>
            <w:pPr>
              <w:spacing w:after="40" w:before="40"/>
              <w:jc w:val="left"/>
            </w:pPr>
            <w:r>
              <w:rPr>
                <w:rFonts w:ascii="Arial" w:cs="Arial" w:eastAsia="Arial" w:hAnsi="Arial"/>
                <w:b w:val="false"/>
                <w:bCs w:val="false"/>
                <w:color w:val="334155"/>
                <w:sz w:val="22"/>
                <w:szCs w:val="22"/>
              </w:rPr>
              <w:t xml:space="preserve">5.1.02.04</w:t>
            </w:r>
          </w:p>
        </w:tc>
        <w:tc>
          <w:tcPr>
            <w:tcW w:type="pct" w:w="25%"/>
            <w:tcBorders>
              <w:top w:val="single" w:color="CBD5E1" w:sz="1"/>
              <w:left w:val="single" w:color="CBD5E1" w:sz="1"/>
              <w:bottom w:val="single" w:color="CBD5E1" w:sz="1"/>
              <w:right w:val="single" w:color="CBD5E1" w:sz="1"/>
            </w:tcBorders>
            <w:tcMar>
              <w:top w:type="dxa" w:w="120"/>
              <w:left w:type="dxa" w:w="120"/>
              <w:bottom w:type="dxa" w:w="120"/>
              <w:right w:type="dxa" w:w="120"/>
            </w:tcMar>
            <w:vAlign w:val="center"/>
          </w:tcPr>
          <w:p>
            <w:pPr>
              <w:spacing w:after="40" w:before="40"/>
              <w:jc w:val="left"/>
            </w:pPr>
            <w:r>
              <w:rPr>
                <w:rFonts w:ascii="Arial" w:cs="Arial" w:eastAsia="Arial" w:hAnsi="Arial"/>
                <w:b w:val="false"/>
                <w:bCs w:val="false"/>
                <w:color w:val="334155"/>
                <w:sz w:val="22"/>
                <w:szCs w:val="22"/>
              </w:rPr>
              <w:t xml:space="preserve">Belanja Perjalanan Dinas</w:t>
            </w:r>
          </w:p>
        </w:tc>
        <w:tc>
          <w:tcPr>
            <w:tcW w:type="pct" w:w="25%"/>
            <w:tcBorders>
              <w:top w:val="single" w:color="CBD5E1" w:sz="1"/>
              <w:left w:val="single" w:color="CBD5E1" w:sz="1"/>
              <w:bottom w:val="single" w:color="CBD5E1" w:sz="1"/>
              <w:right w:val="single" w:color="CBD5E1" w:sz="1"/>
            </w:tcBorders>
            <w:tcMar>
              <w:top w:type="dxa" w:w="120"/>
              <w:left w:type="dxa" w:w="120"/>
              <w:bottom w:type="dxa" w:w="120"/>
              <w:right w:type="dxa" w:w="120"/>
            </w:tcMar>
            <w:vAlign w:val="center"/>
          </w:tcPr>
          <w:p>
            <w:pPr>
              <w:spacing w:after="40" w:before="40"/>
              <w:jc w:val="left"/>
            </w:pPr>
            <w:r>
              <w:rPr>
                <w:rFonts w:ascii="Arial" w:cs="Arial" w:eastAsia="Arial" w:hAnsi="Arial"/>
                <w:b w:val="false"/>
                <w:bCs w:val="false"/>
                <w:color w:val="334155"/>
                <w:sz w:val="22"/>
                <w:szCs w:val="22"/>
              </w:rPr>
              <w:t xml:space="preserve">313.723.000</w:t>
            </w:r>
          </w:p>
        </w:tc>
        <w:tc>
          <w:tcPr>
            <w:tcW w:type="pct" w:w="25%"/>
            <w:tcBorders>
              <w:top w:val="single" w:color="CBD5E1" w:sz="1"/>
              <w:left w:val="single" w:color="CBD5E1" w:sz="1"/>
              <w:bottom w:val="single" w:color="CBD5E1" w:sz="1"/>
              <w:right w:val="single" w:color="CBD5E1" w:sz="1"/>
            </w:tcBorders>
            <w:tcMar>
              <w:top w:type="dxa" w:w="120"/>
              <w:left w:type="dxa" w:w="120"/>
              <w:bottom w:type="dxa" w:w="120"/>
              <w:right w:type="dxa" w:w="120"/>
            </w:tcMar>
            <w:vAlign w:val="center"/>
          </w:tcPr>
          <w:p>
            <w:pPr>
              <w:spacing w:after="40" w:before="40"/>
              <w:jc w:val="left"/>
            </w:pPr>
            <w:r>
              <w:rPr>
                <w:rFonts w:ascii="Arial" w:cs="Arial" w:eastAsia="Arial" w:hAnsi="Arial"/>
                <w:b w:val="false"/>
                <w:bCs w:val="false"/>
                <w:color w:val="334155"/>
                <w:sz w:val="22"/>
                <w:szCs w:val="22"/>
              </w:rPr>
              <w:t xml:space="preserve">62,74%</w:t>
            </w:r>
          </w:p>
        </w:tc>
      </w:tr>
      <w:tr>
        <w:trPr>
          <w:tblHeader w:val="false"/>
        </w:trPr>
        <w:tc>
          <w:tcPr>
            <w:tcW w:type="pct" w:w="25%"/>
            <w:tcBorders>
              <w:top w:val="single" w:color="CBD5E1" w:sz="1"/>
              <w:left w:val="single" w:color="CBD5E1" w:sz="1"/>
              <w:bottom w:val="single" w:color="CBD5E1" w:sz="1"/>
              <w:right w:val="single" w:color="CBD5E1" w:sz="1"/>
            </w:tcBorders>
            <w:tcMar>
              <w:top w:type="dxa" w:w="120"/>
              <w:left w:type="dxa" w:w="120"/>
              <w:bottom w:type="dxa" w:w="120"/>
              <w:right w:type="dxa" w:w="120"/>
            </w:tcMar>
            <w:vAlign w:val="center"/>
          </w:tcPr>
          <w:p>
            <w:pPr>
              <w:spacing w:after="40" w:before="40"/>
              <w:jc w:val="left"/>
            </w:pPr>
            <w:r>
              <w:rPr>
                <w:rFonts w:ascii="Arial" w:cs="Arial" w:eastAsia="Arial" w:hAnsi="Arial"/>
                <w:b w:val="false"/>
                <w:bCs w:val="false"/>
                <w:color w:val="334155"/>
                <w:sz w:val="22"/>
                <w:szCs w:val="22"/>
              </w:rPr>
              <w:t xml:space="preserve"/>
            </w:r>
            <w:r>
              <w:rPr>
                <w:rFonts w:ascii="Arial" w:cs="Arial" w:eastAsia="Arial" w:hAnsi="Arial"/>
                <w:b/>
                <w:bCs/>
                <w:color w:val="334155"/>
                <w:sz w:val="22"/>
                <w:szCs w:val="22"/>
              </w:rPr>
              <w:t xml:space="preserve">Total</w:t>
            </w:r>
            <w:r>
              <w:rPr>
                <w:rFonts w:ascii="Arial" w:cs="Arial" w:eastAsia="Arial" w:hAnsi="Arial"/>
                <w:b w:val="false"/>
                <w:bCs w:val="false"/>
                <w:color w:val="334155"/>
                <w:sz w:val="22"/>
                <w:szCs w:val="22"/>
              </w:rPr>
              <w:t xml:space="preserve"/>
            </w:r>
          </w:p>
        </w:tc>
        <w:tc>
          <w:tcPr>
            <w:tcW w:type="pct" w:w="25%"/>
            <w:tcBorders>
              <w:top w:val="single" w:color="CBD5E1" w:sz="1"/>
              <w:left w:val="single" w:color="CBD5E1" w:sz="1"/>
              <w:bottom w:val="single" w:color="CBD5E1" w:sz="1"/>
              <w:right w:val="single" w:color="CBD5E1" w:sz="1"/>
            </w:tcBorders>
            <w:tcMar>
              <w:top w:type="dxa" w:w="120"/>
              <w:left w:type="dxa" w:w="120"/>
              <w:bottom w:type="dxa" w:w="120"/>
              <w:right w:type="dxa" w:w="120"/>
            </w:tcMar>
            <w:vAlign w:val="center"/>
          </w:tcPr>
          <w:p>
            <w:pPr>
              <w:spacing w:after="40" w:before="40"/>
              <w:jc w:val="left"/>
            </w:pPr>
            <w:r>
              <w:rPr>
                <w:rFonts w:ascii="Arial" w:cs="Arial" w:eastAsia="Arial" w:hAnsi="Arial"/>
                <w:b w:val="false"/>
                <w:bCs w:val="false"/>
                <w:color w:val="334155"/>
                <w:sz w:val="22"/>
                <w:szCs w:val="22"/>
              </w:rPr>
              <w:t xml:space="preserve"/>
            </w:r>
          </w:p>
        </w:tc>
        <w:tc>
          <w:tcPr>
            <w:tcW w:type="pct" w:w="25%"/>
            <w:tcBorders>
              <w:top w:val="single" w:color="CBD5E1" w:sz="1"/>
              <w:left w:val="single" w:color="CBD5E1" w:sz="1"/>
              <w:bottom w:val="single" w:color="CBD5E1" w:sz="1"/>
              <w:right w:val="single" w:color="CBD5E1" w:sz="1"/>
            </w:tcBorders>
            <w:tcMar>
              <w:top w:type="dxa" w:w="120"/>
              <w:left w:type="dxa" w:w="120"/>
              <w:bottom w:type="dxa" w:w="120"/>
              <w:right w:type="dxa" w:w="120"/>
            </w:tcMar>
            <w:vAlign w:val="center"/>
          </w:tcPr>
          <w:p>
            <w:pPr>
              <w:spacing w:after="40" w:before="40"/>
              <w:jc w:val="left"/>
            </w:pPr>
            <w:r>
              <w:rPr>
                <w:rFonts w:ascii="Arial" w:cs="Arial" w:eastAsia="Arial" w:hAnsi="Arial"/>
                <w:b w:val="false"/>
                <w:bCs w:val="false"/>
                <w:color w:val="334155"/>
                <w:sz w:val="22"/>
                <w:szCs w:val="22"/>
              </w:rPr>
              <w:t xml:space="preserve"/>
            </w:r>
            <w:r>
              <w:rPr>
                <w:rFonts w:ascii="Arial" w:cs="Arial" w:eastAsia="Arial" w:hAnsi="Arial"/>
                <w:b/>
                <w:bCs/>
                <w:color w:val="334155"/>
                <w:sz w:val="22"/>
                <w:szCs w:val="22"/>
              </w:rPr>
              <w:t xml:space="preserve">499.999.625</w:t>
            </w:r>
            <w:r>
              <w:rPr>
                <w:rFonts w:ascii="Arial" w:cs="Arial" w:eastAsia="Arial" w:hAnsi="Arial"/>
                <w:b w:val="false"/>
                <w:bCs w:val="false"/>
                <w:color w:val="334155"/>
                <w:sz w:val="22"/>
                <w:szCs w:val="22"/>
              </w:rPr>
              <w:t xml:space="preserve"/>
            </w:r>
          </w:p>
        </w:tc>
        <w:tc>
          <w:tcPr>
            <w:tcW w:type="pct" w:w="25%"/>
            <w:tcBorders>
              <w:top w:val="single" w:color="CBD5E1" w:sz="1"/>
              <w:left w:val="single" w:color="CBD5E1" w:sz="1"/>
              <w:bottom w:val="single" w:color="CBD5E1" w:sz="1"/>
              <w:right w:val="single" w:color="CBD5E1" w:sz="1"/>
            </w:tcBorders>
            <w:tcMar>
              <w:top w:type="dxa" w:w="120"/>
              <w:left w:type="dxa" w:w="120"/>
              <w:bottom w:type="dxa" w:w="120"/>
              <w:right w:type="dxa" w:w="120"/>
            </w:tcMar>
            <w:vAlign w:val="center"/>
          </w:tcPr>
          <w:p>
            <w:pPr>
              <w:spacing w:after="40" w:before="40"/>
              <w:jc w:val="left"/>
            </w:pPr>
            <w:r>
              <w:rPr>
                <w:rFonts w:ascii="Arial" w:cs="Arial" w:eastAsia="Arial" w:hAnsi="Arial"/>
                <w:b w:val="false"/>
                <w:bCs w:val="false"/>
                <w:color w:val="334155"/>
                <w:sz w:val="22"/>
                <w:szCs w:val="22"/>
              </w:rPr>
              <w:t xml:space="preserve"/>
            </w:r>
            <w:r>
              <w:rPr>
                <w:rFonts w:ascii="Arial" w:cs="Arial" w:eastAsia="Arial" w:hAnsi="Arial"/>
                <w:b/>
                <w:bCs/>
                <w:color w:val="334155"/>
                <w:sz w:val="22"/>
                <w:szCs w:val="22"/>
              </w:rPr>
              <w:t xml:space="preserve">100%</w:t>
            </w:r>
            <w:r>
              <w:rPr>
                <w:rFonts w:ascii="Arial" w:cs="Arial" w:eastAsia="Arial" w:hAnsi="Arial"/>
                <w:b w:val="false"/>
                <w:bCs w:val="false"/>
                <w:color w:val="334155"/>
                <w:sz w:val="22"/>
                <w:szCs w:val="22"/>
              </w:rPr>
              <w:t xml:space="preserve"/>
            </w:r>
          </w:p>
        </w:tc>
      </w:tr>
    </w:tbl>
    <w:p>
      <w:pPr>
        <w:spacing w:line="240"/>
      </w:pPr>
    </w:p>
    <w:p>
      <w:pPr>
        <w:spacing w:before="80" w:line="240"/>
        <w:jc w:val="both"/>
      </w:pPr>
      <w:r>
        <w:rPr>
          <w:rFonts w:ascii="Arial" w:cs="Arial" w:eastAsia="Arial" w:hAnsi="Arial"/>
          <w:b w:val="false"/>
          <w:bCs w:val="false"/>
          <w:color w:val="334155"/>
          <w:sz w:val="24"/>
          <w:szCs w:val="24"/>
        </w:rPr>
        <w:t xml:space="preserve">---</w:t>
      </w:r>
    </w:p>
    <w:p>
      <w:pPr>
        <w:spacing w:line="240"/>
      </w:pPr>
    </w:p>
    <w:p>
      <w:pPr>
        <w:pStyle w:val="Heading2"/>
        <w:spacing w:after="120" w:before="240"/>
      </w:pPr>
      <w:r>
        <w:t xml:space="preserve">C. ANALISIS DAN WAWASAN MENDALAM</w:t>
      </w:r>
    </w:p>
    <w:p>
      <w:pPr>
        <w:spacing w:line="240"/>
      </w:pPr>
    </w:p>
    <w:p>
      <w:pPr>
        <w:pStyle w:val="Heading3"/>
        <w:spacing w:after="120" w:before="240"/>
      </w:pPr>
      <w:r>
        <w:t xml:space="preserve">C.1. Struktur Belanja Didominasi Perjalanan Dinas (62,74%)</w:t>
      </w:r>
    </w:p>
    <w:p>
      <w:pPr>
        <w:spacing w:line="240"/>
      </w:pPr>
    </w:p>
    <w:p>
      <w:pPr>
        <w:spacing w:before="80" w:line="240"/>
        <w:jc w:val="both"/>
      </w:pPr>
      <w:r>
        <w:rPr>
          <w:rFonts w:ascii="Arial" w:cs="Arial" w:eastAsia="Arial" w:hAnsi="Arial"/>
          <w:b w:val="false"/>
          <w:bCs w:val="false"/>
          <w:color w:val="334155"/>
          <w:sz w:val="24"/>
          <w:szCs w:val="24"/>
        </w:rPr>
        <w:t xml:space="preserve">Hampir dua pertiga dari total anggaran (Rp313,7 juta) dialokasikan untuk Belanja Perjalanan Dinas Paket Meeting Dalam Kota, mencakup biaya fullboard dan residential hotel, serta uang saku peserta masyarakat. Hal ini menunjukkan bahwa kegiatan Pendampingan PUG sangat mengandalkan pertemuan-pertemuan intensif secara luring (tatap muka) dalam bentuk workshop, sosialisasi, dan pembinaan.</w:t>
      </w:r>
    </w:p>
    <w:p>
      <w:pPr>
        <w:spacing w:line="240"/>
      </w:pPr>
    </w:p>
    <w:p>
      <w:pPr>
        <w:pStyle w:val="Heading3"/>
        <w:spacing w:after="120" w:before="240"/>
      </w:pPr>
      <w:r>
        <w:t xml:space="preserve">C.2. Tiga Pilar Kegiatan Utama</w:t>
      </w:r>
    </w:p>
    <w:p>
      <w:pPr>
        <w:spacing w:line="240"/>
      </w:pPr>
    </w:p>
    <w:p>
      <w:pPr>
        <w:spacing w:before="80" w:line="240"/>
        <w:jc w:val="both"/>
      </w:pPr>
      <w:r>
        <w:rPr>
          <w:rFonts w:ascii="Arial" w:cs="Arial" w:eastAsia="Arial" w:hAnsi="Arial"/>
          <w:b w:val="false"/>
          <w:bCs w:val="false"/>
          <w:color w:val="334155"/>
          <w:sz w:val="24"/>
          <w:szCs w:val="24"/>
        </w:rPr>
        <w:t xml:space="preserve">Berdasarkan pemetaan dari akun Belanja Bahan Cetak, Honorarium, dan Perjalanan Dinas, terdapat tiga kegiatan utama yang didanai sebagai berikut:</w:t>
      </w:r>
    </w:p>
    <w:p>
      <w:pPr>
        <w:spacing w:line="240"/>
      </w:pPr>
    </w:p>
    <w:p>
      <w:pPr>
        <w:spacing w:before="80" w:line="240"/>
        <w:jc w:val="both"/>
      </w:pPr>
      <w:r>
        <w:rPr>
          <w:rFonts w:ascii="Arial" w:cs="Arial" w:eastAsia="Arial" w:hAnsi="Arial"/>
          <w:b w:val="false"/>
          <w:bCs w:val="false"/>
          <w:color w:val="334155"/>
          <w:sz w:val="24"/>
          <w:szCs w:val="24"/>
        </w:rPr>
        <w:t xml:space="preserve">a. Workshop Perencanaan Penganggaran Responsif Gender (PPRG) Tahun 2026</w:t>
      </w:r>
    </w:p>
    <w:p>
      <w:pPr>
        <w:pStyle w:val="ListParagraph"/>
        <w:numPr>
          <w:ilvl w:val="0"/>
          <w:numId w:val="1"/>
        </w:numPr>
        <w:spacing w:before="100" w:line="240"/>
        <w:jc w:val="both"/>
      </w:pPr>
      <w:r>
        <w:rPr>
          <w:rFonts w:ascii="Arial" w:cs="Arial" w:eastAsia="Arial" w:hAnsi="Arial"/>
          <w:b w:val="false"/>
          <w:bCs w:val="false"/>
          <w:color w:val="334155"/>
          <w:sz w:val="24"/>
          <w:szCs w:val="24"/>
        </w:rPr>
        <w:t xml:space="preserve">Alokasi Perjalanan Dinas: Rp65.760.000</w:t>
      </w:r>
    </w:p>
    <w:p>
      <w:pPr>
        <w:pStyle w:val="ListParagraph"/>
        <w:numPr>
          <w:ilvl w:val="0"/>
          <w:numId w:val="1"/>
        </w:numPr>
        <w:spacing w:before="100" w:line="240"/>
        <w:jc w:val="both"/>
      </w:pPr>
      <w:r>
        <w:rPr>
          <w:rFonts w:ascii="Arial" w:cs="Arial" w:eastAsia="Arial" w:hAnsi="Arial"/>
          <w:b w:val="false"/>
          <w:bCs w:val="false"/>
          <w:color w:val="334155"/>
          <w:sz w:val="24"/>
          <w:szCs w:val="24"/>
        </w:rPr>
        <w:t xml:space="preserve">Honorarium: Rp6.800.000</w:t>
      </w:r>
    </w:p>
    <w:p>
      <w:pPr>
        <w:pStyle w:val="ListParagraph"/>
        <w:numPr>
          <w:ilvl w:val="0"/>
          <w:numId w:val="1"/>
        </w:numPr>
        <w:spacing w:before="100" w:line="240"/>
        <w:jc w:val="both"/>
      </w:pPr>
      <w:r>
        <w:rPr>
          <w:rFonts w:ascii="Arial" w:cs="Arial" w:eastAsia="Arial" w:hAnsi="Arial"/>
          <w:b w:val="false"/>
          <w:bCs w:val="false"/>
          <w:color w:val="334155"/>
          <w:sz w:val="24"/>
          <w:szCs w:val="24"/>
        </w:rPr>
        <w:t xml:space="preserve">Biaya cetak spanduk</w:t>
      </w:r>
    </w:p>
    <w:p>
      <w:pPr>
        <w:pStyle w:val="ListParagraph"/>
        <w:numPr>
          <w:ilvl w:val="0"/>
          <w:numId w:val="1"/>
        </w:numPr>
        <w:spacing w:before="100" w:line="240"/>
        <w:jc w:val="both"/>
      </w:pPr>
      <w:r>
        <w:rPr>
          <w:rFonts w:ascii="Arial" w:cs="Arial" w:eastAsia="Arial" w:hAnsi="Arial"/>
          <w:b w:val="false"/>
          <w:bCs w:val="false"/>
          <w:color w:val="334155"/>
          <w:sz w:val="24"/>
          <w:szCs w:val="24"/>
        </w:rPr>
        <w:t xml:space="preserve">Target peserta: 80 orang (paket fullboard)</w:t>
      </w:r>
    </w:p>
    <w:p>
      <w:pPr>
        <w:spacing w:line="240"/>
      </w:pPr>
    </w:p>
    <w:p>
      <w:pPr>
        <w:spacing w:before="80" w:line="240"/>
        <w:jc w:val="both"/>
      </w:pPr>
      <w:r>
        <w:rPr>
          <w:rFonts w:ascii="Arial" w:cs="Arial" w:eastAsia="Arial" w:hAnsi="Arial"/>
          <w:b w:val="false"/>
          <w:bCs w:val="false"/>
          <w:color w:val="334155"/>
          <w:sz w:val="24"/>
          <w:szCs w:val="24"/>
        </w:rPr>
        <w:t xml:space="preserve">b. Sosialisasi Perencanaan dan Penganggaran Responsif Gender Tingkat Kecamatan</w:t>
      </w:r>
    </w:p>
    <w:p>
      <w:pPr>
        <w:pStyle w:val="ListParagraph"/>
        <w:numPr>
          <w:ilvl w:val="0"/>
          <w:numId w:val="1"/>
        </w:numPr>
        <w:spacing w:before="100" w:line="240"/>
        <w:jc w:val="both"/>
      </w:pPr>
      <w:r>
        <w:rPr>
          <w:rFonts w:ascii="Arial" w:cs="Arial" w:eastAsia="Arial" w:hAnsi="Arial"/>
          <w:b w:val="false"/>
          <w:bCs w:val="false"/>
          <w:color w:val="334155"/>
          <w:sz w:val="24"/>
          <w:szCs w:val="24"/>
        </w:rPr>
        <w:t xml:space="preserve">Alokasi Perjalanan Dinas: Rp34.263.000</w:t>
      </w:r>
    </w:p>
    <w:p>
      <w:pPr>
        <w:pStyle w:val="ListParagraph"/>
        <w:numPr>
          <w:ilvl w:val="0"/>
          <w:numId w:val="1"/>
        </w:numPr>
        <w:spacing w:before="100" w:line="240"/>
        <w:jc w:val="both"/>
      </w:pPr>
      <w:r>
        <w:rPr>
          <w:rFonts w:ascii="Arial" w:cs="Arial" w:eastAsia="Arial" w:hAnsi="Arial"/>
          <w:b w:val="false"/>
          <w:bCs w:val="false"/>
          <w:color w:val="334155"/>
          <w:sz w:val="24"/>
          <w:szCs w:val="24"/>
        </w:rPr>
        <w:t xml:space="preserve">Honorarium: Rp4.200.000</w:t>
      </w:r>
    </w:p>
    <w:p>
      <w:pPr>
        <w:pStyle w:val="ListParagraph"/>
        <w:numPr>
          <w:ilvl w:val="0"/>
          <w:numId w:val="1"/>
        </w:numPr>
        <w:spacing w:before="100" w:line="240"/>
        <w:jc w:val="both"/>
      </w:pPr>
      <w:r>
        <w:rPr>
          <w:rFonts w:ascii="Arial" w:cs="Arial" w:eastAsia="Arial" w:hAnsi="Arial"/>
          <w:b w:val="false"/>
          <w:bCs w:val="false"/>
          <w:color w:val="334155"/>
          <w:sz w:val="24"/>
          <w:szCs w:val="24"/>
        </w:rPr>
        <w:t xml:space="preserve">Biaya cetak leaflet dan spanduk</w:t>
      </w:r>
    </w:p>
    <w:p>
      <w:pPr>
        <w:pStyle w:val="ListParagraph"/>
        <w:numPr>
          <w:ilvl w:val="0"/>
          <w:numId w:val="1"/>
        </w:numPr>
        <w:spacing w:before="100" w:line="240"/>
        <w:jc w:val="both"/>
      </w:pPr>
      <w:r>
        <w:rPr>
          <w:rFonts w:ascii="Arial" w:cs="Arial" w:eastAsia="Arial" w:hAnsi="Arial"/>
          <w:b w:val="false"/>
          <w:bCs w:val="false"/>
          <w:color w:val="334155"/>
          <w:sz w:val="24"/>
          <w:szCs w:val="24"/>
        </w:rPr>
        <w:t xml:space="preserve">Target peserta: 47 orang (paket residential)</w:t>
      </w:r>
    </w:p>
    <w:p>
      <w:pPr>
        <w:spacing w:line="240"/>
      </w:pPr>
    </w:p>
    <w:p>
      <w:pPr>
        <w:spacing w:before="80" w:line="240"/>
        <w:jc w:val="both"/>
      </w:pPr>
      <w:r>
        <w:rPr>
          <w:rFonts w:ascii="Arial" w:cs="Arial" w:eastAsia="Arial" w:hAnsi="Arial"/>
          <w:b w:val="false"/>
          <w:bCs w:val="false"/>
          <w:color w:val="334155"/>
          <w:sz w:val="24"/>
          <w:szCs w:val="24"/>
        </w:rPr>
        <w:t xml:space="preserve">c. Sosialisasi Perencanaan dan Penganggaran Responsif Gender Tingkat Desa</w:t>
      </w:r>
    </w:p>
    <w:p>
      <w:pPr>
        <w:pStyle w:val="ListParagraph"/>
        <w:numPr>
          <w:ilvl w:val="0"/>
          <w:numId w:val="1"/>
        </w:numPr>
        <w:spacing w:before="100" w:line="240"/>
        <w:jc w:val="both"/>
      </w:pPr>
      <w:r>
        <w:rPr>
          <w:rFonts w:ascii="Arial" w:cs="Arial" w:eastAsia="Arial" w:hAnsi="Arial"/>
          <w:b w:val="false"/>
          <w:bCs w:val="false"/>
          <w:color w:val="334155"/>
          <w:sz w:val="24"/>
          <w:szCs w:val="24"/>
        </w:rPr>
        <w:t xml:space="preserve">Alokasi Perjalanan Dinas: Rp213.700.000</w:t>
      </w:r>
    </w:p>
    <w:p>
      <w:pPr>
        <w:pStyle w:val="ListParagraph"/>
        <w:numPr>
          <w:ilvl w:val="0"/>
          <w:numId w:val="1"/>
        </w:numPr>
        <w:spacing w:before="100" w:line="240"/>
        <w:jc w:val="both"/>
      </w:pPr>
      <w:r>
        <w:rPr>
          <w:rFonts w:ascii="Arial" w:cs="Arial" w:eastAsia="Arial" w:hAnsi="Arial"/>
          <w:b w:val="false"/>
          <w:bCs w:val="false"/>
          <w:color w:val="334155"/>
          <w:sz w:val="24"/>
          <w:szCs w:val="24"/>
        </w:rPr>
        <w:t xml:space="preserve">Honorarium: Rp2.400.000</w:t>
      </w:r>
    </w:p>
    <w:p>
      <w:pPr>
        <w:pStyle w:val="ListParagraph"/>
        <w:numPr>
          <w:ilvl w:val="0"/>
          <w:numId w:val="1"/>
        </w:numPr>
        <w:spacing w:before="100" w:line="240"/>
        <w:jc w:val="both"/>
      </w:pPr>
      <w:r>
        <w:rPr>
          <w:rFonts w:ascii="Arial" w:cs="Arial" w:eastAsia="Arial" w:hAnsi="Arial"/>
          <w:b w:val="false"/>
          <w:bCs w:val="false"/>
          <w:color w:val="334155"/>
          <w:sz w:val="24"/>
          <w:szCs w:val="24"/>
        </w:rPr>
        <w:t xml:space="preserve">Target peserta: 500 orang dari unsur masyarakat + 137 orang uang saku</w:t>
      </w:r>
    </w:p>
    <w:p>
      <w:pPr>
        <w:spacing w:line="240"/>
      </w:pPr>
    </w:p>
    <w:p>
      <w:pPr>
        <w:spacing w:before="80" w:line="240"/>
        <w:jc w:val="both"/>
      </w:pPr>
      <w:r>
        <w:rPr>
          <w:rFonts w:ascii="Arial" w:cs="Arial" w:eastAsia="Arial" w:hAnsi="Arial"/>
          <w:b w:val="false"/>
          <w:bCs w:val="false"/>
          <w:color w:val="334155"/>
          <w:sz w:val="24"/>
          <w:szCs w:val="24"/>
        </w:rPr>
        <w:t xml:space="preserve">d. Pembinaan Simulasi Gender di Lokasi P2WKSS</w:t>
      </w:r>
    </w:p>
    <w:p>
      <w:pPr>
        <w:pStyle w:val="ListParagraph"/>
        <w:numPr>
          <w:ilvl w:val="0"/>
          <w:numId w:val="1"/>
        </w:numPr>
        <w:spacing w:before="100" w:line="240"/>
        <w:jc w:val="both"/>
      </w:pPr>
      <w:r>
        <w:rPr>
          <w:rFonts w:ascii="Arial" w:cs="Arial" w:eastAsia="Arial" w:hAnsi="Arial"/>
          <w:b w:val="false"/>
          <w:bCs w:val="false"/>
          <w:color w:val="334155"/>
          <w:sz w:val="24"/>
          <w:szCs w:val="24"/>
        </w:rPr>
        <w:t xml:space="preserve">Biaya cetak leaflet, poster, roll banner, kaos, rompi, dan konsumsi rapat</w:t>
      </w:r>
    </w:p>
    <w:p>
      <w:pPr>
        <w:spacing w:line="240"/>
      </w:pPr>
    </w:p>
    <w:p>
      <w:pPr>
        <w:spacing w:before="80" w:line="240"/>
        <w:jc w:val="both"/>
      </w:pPr>
      <w:r>
        <w:rPr>
          <w:rFonts w:ascii="Arial" w:cs="Arial" w:eastAsia="Arial" w:hAnsi="Arial"/>
          <w:b w:val="false"/>
          <w:bCs w:val="false"/>
          <w:color w:val="334155"/>
          <w:sz w:val="24"/>
          <w:szCs w:val="24"/>
        </w:rPr>
        <w:t xml:space="preserve">Pendekatan yang digunakan adalah</w:t>
      </w:r>
      <w:r>
        <w:rPr>
          <w:rFonts w:ascii="Arial" w:cs="Arial" w:eastAsia="Arial" w:hAnsi="Arial"/>
          <w:b/>
          <w:bCs/>
          <w:color w:val="334155"/>
          <w:sz w:val="24"/>
          <w:szCs w:val="24"/>
        </w:rPr>
        <w:t xml:space="preserve">berjenjang</w:t>
      </w:r>
      <w:r>
        <w:rPr>
          <w:rFonts w:ascii="Arial" w:cs="Arial" w:eastAsia="Arial" w:hAnsi="Arial"/>
          <w:b w:val="false"/>
          <w:bCs w:val="false"/>
          <w:color w:val="334155"/>
          <w:sz w:val="24"/>
          <w:szCs w:val="24"/>
        </w:rPr>
        <w:t xml:space="preserve">dari tingkat Kota/Kabupaten, ke Kecamatan, hingga ke Desa.</w:t>
      </w:r>
    </w:p>
    <w:p>
      <w:pPr>
        <w:spacing w:line="240"/>
      </w:pPr>
    </w:p>
    <w:p>
      <w:pPr>
        <w:pStyle w:val="Heading3"/>
        <w:spacing w:after="120" w:before="240"/>
      </w:pPr>
      <w:r>
        <w:t xml:space="preserve">C.3. Ketersediaan Perlengkapan dan Suvenir</w:t>
      </w:r>
    </w:p>
    <w:p>
      <w:pPr>
        <w:spacing w:line="240"/>
      </w:pPr>
    </w:p>
    <w:p>
      <w:pPr>
        <w:spacing w:before="80" w:line="240"/>
        <w:jc w:val="both"/>
      </w:pPr>
      <w:r>
        <w:rPr>
          <w:rFonts w:ascii="Arial" w:cs="Arial" w:eastAsia="Arial" w:hAnsi="Arial"/>
          <w:b w:val="false"/>
          <w:bCs w:val="false"/>
          <w:color w:val="334155"/>
          <w:sz w:val="24"/>
          <w:szCs w:val="24"/>
        </w:rPr>
        <w:t xml:space="preserve">Dari akun Belanja Barang, kegiatan ini tidak hanya menyediakan ATK standar, tetapi juga menyediakan suvenir cenderamata yang cukup variatif dan custom berupa Goody Bag, Mug, Payung, dan Tas Belanja Lipat, serta perlengkapan dinas berupa Kaos dan Rompi dengan total nilai Rp60,7 juta. Hal ini mengindikasikan upaya membangun branding dan kedekatan dengan peserta dari berbagai tingkatan.</w:t>
      </w:r>
    </w:p>
    <w:p>
      <w:pPr>
        <w:spacing w:line="240"/>
      </w:pPr>
    </w:p>
    <w:p>
      <w:pPr>
        <w:pStyle w:val="Heading3"/>
        <w:spacing w:after="120" w:before="240"/>
      </w:pPr>
      <w:r>
        <w:t xml:space="preserve">C.4. Indikator Kinerja yang Spesifik</w:t>
      </w:r>
    </w:p>
    <w:p>
      <w:pPr>
        <w:spacing w:line="240"/>
      </w:pPr>
    </w:p>
    <w:tbl>
      <w:tblPr>
        <w:tblW w:type="pct" w:w="100%"/>
        <w:jc w:val="center"/>
        <w:tblBorders>
          <w:top w:val="single" w:color="4f46e5" w:sz="2"/>
          <w:left w:val="single" w:color="E2E8F0" w:sz="1"/>
          <w:bottom w:val="single" w:color="4f46e5" w:sz="2"/>
          <w:right w:val="single" w:color="E2E8F0" w:sz="1"/>
          <w:insideH w:val="single" w:color="E2E8F0" w:sz="1"/>
          <w:insideV w:val="single" w:color="E2E8F0" w:sz="1"/>
        </w:tblBorders>
      </w:tblPr>
      <w:tblGrid>
        <w:gridCol w:w="100"/>
        <w:gridCol w:w="100"/>
      </w:tblGrid>
      <w:tr>
        <w:trPr>
          <w:tblHeader/>
        </w:trPr>
        <w:tc>
          <w:tcPr>
            <w:tcW w:type="pct" w:w="50%"/>
            <w:tcBorders>
              <w:top w:val="single" w:color="CBD5E1" w:sz="1"/>
              <w:left w:val="single" w:color="CBD5E1" w:sz="1"/>
              <w:bottom w:val="single" w:color="CBD5E1" w:sz="1"/>
              <w:right w:val="single" w:color="CBD5E1" w:sz="1"/>
            </w:tcBorders>
            <w:shd w:fill="4f46e5" w:val="clear"/>
            <w:tcMar>
              <w:top w:type="dxa" w:w="120"/>
              <w:left w:type="dxa" w:w="120"/>
              <w:bottom w:type="dxa" w:w="120"/>
              <w:right w:type="dxa" w:w="120"/>
            </w:tcMar>
            <w:vAlign w:val="center"/>
          </w:tcPr>
          <w:p>
            <w:pPr>
              <w:spacing w:after="40" w:before="40"/>
              <w:jc w:val="center"/>
            </w:pPr>
            <w:r>
              <w:rPr>
                <w:rFonts w:ascii="Arial" w:cs="Arial" w:eastAsia="Arial" w:hAnsi="Arial"/>
                <w:b/>
                <w:bCs/>
                <w:color w:val="FFFFFF"/>
                <w:sz w:val="24"/>
                <w:szCs w:val="24"/>
              </w:rPr>
              <w:t xml:space="preserve">Indikator</w:t>
            </w:r>
          </w:p>
        </w:tc>
        <w:tc>
          <w:tcPr>
            <w:tcW w:type="pct" w:w="50%"/>
            <w:tcBorders>
              <w:top w:val="single" w:color="CBD5E1" w:sz="1"/>
              <w:left w:val="single" w:color="CBD5E1" w:sz="1"/>
              <w:bottom w:val="single" w:color="CBD5E1" w:sz="1"/>
              <w:right w:val="single" w:color="CBD5E1" w:sz="1"/>
            </w:tcBorders>
            <w:shd w:fill="4f46e5" w:val="clear"/>
            <w:tcMar>
              <w:top w:type="dxa" w:w="120"/>
              <w:left w:type="dxa" w:w="120"/>
              <w:bottom w:type="dxa" w:w="120"/>
              <w:right w:type="dxa" w:w="120"/>
            </w:tcMar>
            <w:vAlign w:val="center"/>
          </w:tcPr>
          <w:p>
            <w:pPr>
              <w:spacing w:after="40" w:before="40"/>
              <w:jc w:val="center"/>
            </w:pPr>
            <w:r>
              <w:rPr>
                <w:rFonts w:ascii="Arial" w:cs="Arial" w:eastAsia="Arial" w:hAnsi="Arial"/>
                <w:b/>
                <w:bCs/>
                <w:color w:val="FFFFFF"/>
                <w:sz w:val="24"/>
                <w:szCs w:val="24"/>
              </w:rPr>
              <w:t xml:space="preserve">Target</w:t>
            </w:r>
          </w:p>
        </w:tc>
      </w:tr>
      <w:tr>
        <w:trPr>
          <w:tblHeader w:val="false"/>
        </w:trPr>
        <w:tc>
          <w:tcPr>
            <w:tcW w:type="pct" w:w="50%"/>
            <w:tcBorders>
              <w:top w:val="single" w:color="CBD5E1" w:sz="1"/>
              <w:left w:val="single" w:color="CBD5E1" w:sz="1"/>
              <w:bottom w:val="single" w:color="CBD5E1" w:sz="1"/>
              <w:right w:val="single" w:color="CBD5E1" w:sz="1"/>
            </w:tcBorders>
            <w:tcMar>
              <w:top w:type="dxa" w:w="120"/>
              <w:left w:type="dxa" w:w="120"/>
              <w:bottom w:type="dxa" w:w="120"/>
              <w:right w:type="dxa" w:w="120"/>
            </w:tcMar>
            <w:vAlign w:val="center"/>
          </w:tcPr>
          <w:p>
            <w:pPr>
              <w:spacing w:after="40" w:before="40"/>
              <w:jc w:val="left"/>
            </w:pPr>
            <w:r>
              <w:rPr>
                <w:rFonts w:ascii="Arial" w:cs="Arial" w:eastAsia="Arial" w:hAnsi="Arial"/>
                <w:b w:val="false"/>
                <w:bCs w:val="false"/>
                <w:color w:val="334155"/>
                <w:sz w:val="22"/>
                <w:szCs w:val="22"/>
              </w:rPr>
              <w:t xml:space="preserve">Target Capaian Program (ARG - Anggaran Responsif Gender)</w:t>
            </w:r>
          </w:p>
        </w:tc>
        <w:tc>
          <w:tcPr>
            <w:tcW w:type="pct" w:w="50%"/>
            <w:tcBorders>
              <w:top w:val="single" w:color="CBD5E1" w:sz="1"/>
              <w:left w:val="single" w:color="CBD5E1" w:sz="1"/>
              <w:bottom w:val="single" w:color="CBD5E1" w:sz="1"/>
              <w:right w:val="single" w:color="CBD5E1" w:sz="1"/>
            </w:tcBorders>
            <w:tcMar>
              <w:top w:type="dxa" w:w="120"/>
              <w:left w:type="dxa" w:w="120"/>
              <w:bottom w:type="dxa" w:w="120"/>
              <w:right w:type="dxa" w:w="120"/>
            </w:tcMar>
            <w:vAlign w:val="center"/>
          </w:tcPr>
          <w:p>
            <w:pPr>
              <w:spacing w:after="40" w:before="40"/>
              <w:jc w:val="left"/>
            </w:pPr>
            <w:r>
              <w:rPr>
                <w:rFonts w:ascii="Arial" w:cs="Arial" w:eastAsia="Arial" w:hAnsi="Arial"/>
                <w:b w:val="false"/>
                <w:bCs w:val="false"/>
                <w:color w:val="334155"/>
                <w:sz w:val="22"/>
                <w:szCs w:val="22"/>
              </w:rPr>
              <w:t xml:space="preserve">35,73%</w:t>
            </w:r>
          </w:p>
        </w:tc>
      </w:tr>
      <w:tr>
        <w:trPr>
          <w:tblHeader w:val="false"/>
        </w:trPr>
        <w:tc>
          <w:tcPr>
            <w:tcW w:type="pct" w:w="50%"/>
            <w:tcBorders>
              <w:top w:val="single" w:color="CBD5E1" w:sz="1"/>
              <w:left w:val="single" w:color="CBD5E1" w:sz="1"/>
              <w:bottom w:val="single" w:color="CBD5E1" w:sz="1"/>
              <w:right w:val="single" w:color="CBD5E1" w:sz="1"/>
            </w:tcBorders>
            <w:tcMar>
              <w:top w:type="dxa" w:w="120"/>
              <w:left w:type="dxa" w:w="120"/>
              <w:bottom w:type="dxa" w:w="120"/>
              <w:right w:type="dxa" w:w="120"/>
            </w:tcMar>
            <w:vAlign w:val="center"/>
          </w:tcPr>
          <w:p>
            <w:pPr>
              <w:spacing w:after="40" w:before="40"/>
              <w:jc w:val="left"/>
            </w:pPr>
            <w:r>
              <w:rPr>
                <w:rFonts w:ascii="Arial" w:cs="Arial" w:eastAsia="Arial" w:hAnsi="Arial"/>
                <w:b w:val="false"/>
                <w:bCs w:val="false"/>
                <w:color w:val="334155"/>
                <w:sz w:val="22"/>
                <w:szCs w:val="22"/>
              </w:rPr>
              <w:t xml:space="preserve">Keluaran (Output) - Jumlah lembaga/OPD kabupaten/kota mendapat pendampingan</w:t>
            </w:r>
          </w:p>
        </w:tc>
        <w:tc>
          <w:tcPr>
            <w:tcW w:type="pct" w:w="50%"/>
            <w:tcBorders>
              <w:top w:val="single" w:color="CBD5E1" w:sz="1"/>
              <w:left w:val="single" w:color="CBD5E1" w:sz="1"/>
              <w:bottom w:val="single" w:color="CBD5E1" w:sz="1"/>
              <w:right w:val="single" w:color="CBD5E1" w:sz="1"/>
            </w:tcBorders>
            <w:tcMar>
              <w:top w:type="dxa" w:w="120"/>
              <w:left w:type="dxa" w:w="120"/>
              <w:bottom w:type="dxa" w:w="120"/>
              <w:right w:type="dxa" w:w="120"/>
            </w:tcMar>
            <w:vAlign w:val="center"/>
          </w:tcPr>
          <w:p>
            <w:pPr>
              <w:spacing w:after="40" w:before="40"/>
              <w:jc w:val="left"/>
            </w:pPr>
            <w:r>
              <w:rPr>
                <w:rFonts w:ascii="Arial" w:cs="Arial" w:eastAsia="Arial" w:hAnsi="Arial"/>
                <w:b w:val="false"/>
                <w:bCs w:val="false"/>
                <w:color w:val="334155"/>
                <w:sz w:val="22"/>
                <w:szCs w:val="22"/>
              </w:rPr>
              <w:t xml:space="preserve">2 lembaga</w:t>
            </w:r>
          </w:p>
        </w:tc>
      </w:tr>
      <w:tr>
        <w:trPr>
          <w:tblHeader w:val="false"/>
        </w:trPr>
        <w:tc>
          <w:tcPr>
            <w:tcW w:type="pct" w:w="50%"/>
            <w:tcBorders>
              <w:top w:val="single" w:color="CBD5E1" w:sz="1"/>
              <w:left w:val="single" w:color="CBD5E1" w:sz="1"/>
              <w:bottom w:val="single" w:color="CBD5E1" w:sz="1"/>
              <w:right w:val="single" w:color="CBD5E1" w:sz="1"/>
            </w:tcBorders>
            <w:tcMar>
              <w:top w:type="dxa" w:w="120"/>
              <w:left w:type="dxa" w:w="120"/>
              <w:bottom w:type="dxa" w:w="120"/>
              <w:right w:type="dxa" w:w="120"/>
            </w:tcMar>
            <w:vAlign w:val="center"/>
          </w:tcPr>
          <w:p>
            <w:pPr>
              <w:spacing w:after="40" w:before="40"/>
              <w:jc w:val="left"/>
            </w:pPr>
            <w:r>
              <w:rPr>
                <w:rFonts w:ascii="Arial" w:cs="Arial" w:eastAsia="Arial" w:hAnsi="Arial"/>
                <w:b w:val="false"/>
                <w:bCs w:val="false"/>
                <w:color w:val="334155"/>
                <w:sz w:val="22"/>
                <w:szCs w:val="22"/>
              </w:rPr>
              <w:t xml:space="preserve">Hasil (Outcome) - Meningkatnya Kualitas Perangkat Daerah tentang Standar PUG</w:t>
            </w:r>
          </w:p>
        </w:tc>
        <w:tc>
          <w:tcPr>
            <w:tcW w:type="pct" w:w="50%"/>
            <w:tcBorders>
              <w:top w:val="single" w:color="CBD5E1" w:sz="1"/>
              <w:left w:val="single" w:color="CBD5E1" w:sz="1"/>
              <w:bottom w:val="single" w:color="CBD5E1" w:sz="1"/>
              <w:right w:val="single" w:color="CBD5E1" w:sz="1"/>
            </w:tcBorders>
            <w:tcMar>
              <w:top w:type="dxa" w:w="120"/>
              <w:left w:type="dxa" w:w="120"/>
              <w:bottom w:type="dxa" w:w="120"/>
              <w:right w:type="dxa" w:w="120"/>
            </w:tcMar>
            <w:vAlign w:val="center"/>
          </w:tcPr>
          <w:p>
            <w:pPr>
              <w:spacing w:after="40" w:before="40"/>
              <w:jc w:val="left"/>
            </w:pPr>
            <w:r>
              <w:rPr>
                <w:rFonts w:ascii="Arial" w:cs="Arial" w:eastAsia="Arial" w:hAnsi="Arial"/>
                <w:b w:val="false"/>
                <w:bCs w:val="false"/>
                <w:color w:val="334155"/>
                <w:sz w:val="22"/>
                <w:szCs w:val="22"/>
              </w:rPr>
              <w:t xml:space="preserve">100%</w:t>
            </w:r>
          </w:p>
        </w:tc>
      </w:tr>
    </w:tbl>
    <w:p>
      <w:pPr>
        <w:spacing w:line="240"/>
      </w:pPr>
    </w:p>
    <w:p>
      <w:pPr>
        <w:pStyle w:val="Heading3"/>
        <w:spacing w:after="120" w:before="240"/>
      </w:pPr>
      <w:r>
        <w:t xml:space="preserve">C.5. Pejabat Penanggung Jawab</w:t>
      </w:r>
    </w:p>
    <w:p>
      <w:pPr>
        <w:spacing w:line="240"/>
      </w:pPr>
    </w:p>
    <w:p>
      <w:pPr>
        <w:spacing w:before="80" w:line="240"/>
        <w:jc w:val="both"/>
      </w:pPr>
      <w:r>
        <w:rPr>
          <w:rFonts w:ascii="Arial" w:cs="Arial" w:eastAsia="Arial" w:hAnsi="Arial"/>
          <w:b w:val="false"/>
          <w:bCs w:val="false"/>
          <w:color w:val="334155"/>
          <w:sz w:val="24"/>
          <w:szCs w:val="24"/>
        </w:rPr>
        <w:t xml:space="preserve"/>
      </w:r>
      <w:r>
        <w:rPr>
          <w:rFonts w:ascii="Arial" w:cs="Arial" w:eastAsia="Arial" w:hAnsi="Arial"/>
          <w:b/>
          <w:bCs/>
          <w:color w:val="334155"/>
          <w:sz w:val="24"/>
          <w:szCs w:val="24"/>
        </w:rPr>
        <w:t xml:space="preserve">Kepala DP3AP2KB (Penanggung Jawab Program):</w:t>
      </w:r>
      <w:r>
        <w:rPr>
          <w:rFonts w:ascii="Arial" w:cs="Arial" w:eastAsia="Arial" w:hAnsi="Arial"/>
          <w:b w:val="false"/>
          <w:bCs w:val="false"/>
          <w:color w:val="334155"/>
          <w:sz w:val="24"/>
          <w:szCs w:val="24"/>
        </w:rPr>
        <w:t xml:space="preserve"/>
      </w:r>
    </w:p>
    <w:p>
      <w:pPr>
        <w:spacing w:before="80" w:line="240"/>
        <w:jc w:val="both"/>
      </w:pPr>
      <w:r>
        <w:rPr>
          <w:rFonts w:ascii="Arial" w:cs="Arial" w:eastAsia="Arial" w:hAnsi="Arial"/>
          <w:b w:val="false"/>
          <w:bCs w:val="false"/>
          <w:color w:val="334155"/>
          <w:sz w:val="24"/>
          <w:szCs w:val="24"/>
        </w:rPr>
        <w:t xml:space="preserve">Ir. Sussy Rahayu Agustini, MT</w:t>
      </w:r>
    </w:p>
    <w:p>
      <w:pPr>
        <w:spacing w:before="80" w:line="240"/>
        <w:jc w:val="both"/>
      </w:pPr>
      <w:r>
        <w:rPr>
          <w:rFonts w:ascii="Arial" w:cs="Arial" w:eastAsia="Arial" w:hAnsi="Arial"/>
          <w:b w:val="false"/>
          <w:bCs w:val="false"/>
          <w:color w:val="334155"/>
          <w:sz w:val="24"/>
          <w:szCs w:val="24"/>
        </w:rPr>
        <w:t xml:space="preserve">NIP. 196808201995032002</w:t>
      </w:r>
    </w:p>
    <w:p>
      <w:pPr>
        <w:spacing w:line="240"/>
      </w:pPr>
    </w:p>
    <w:p>
      <w:pPr>
        <w:spacing w:before="80" w:line="240"/>
        <w:jc w:val="both"/>
      </w:pPr>
      <w:r>
        <w:rPr>
          <w:rFonts w:ascii="Arial" w:cs="Arial" w:eastAsia="Arial" w:hAnsi="Arial"/>
          <w:b w:val="false"/>
          <w:bCs w:val="false"/>
          <w:color w:val="334155"/>
          <w:sz w:val="24"/>
          <w:szCs w:val="24"/>
        </w:rPr>
        <w:t xml:space="preserve"/>
      </w:r>
      <w:r>
        <w:rPr>
          <w:rFonts w:ascii="Arial" w:cs="Arial" w:eastAsia="Arial" w:hAnsi="Arial"/>
          <w:b/>
          <w:bCs/>
          <w:color w:val="334155"/>
          <w:sz w:val="24"/>
          <w:szCs w:val="24"/>
        </w:rPr>
        <w:t xml:space="preserve">Tim Anggaran Pemerintah Daerah (TAPD) Pembahas RKA:</w:t>
      </w:r>
      <w:r>
        <w:rPr>
          <w:rFonts w:ascii="Arial" w:cs="Arial" w:eastAsia="Arial" w:hAnsi="Arial"/>
          <w:b w:val="false"/>
          <w:bCs w:val="false"/>
          <w:color w:val="334155"/>
          <w:sz w:val="24"/>
          <w:szCs w:val="24"/>
        </w:rPr>
        <w:t xml:space="preserve"/>
      </w:r>
    </w:p>
    <w:p>
      <w:pPr>
        <w:pStyle w:val="ListParagraph"/>
        <w:numPr>
          <w:ilvl w:val="0"/>
          <w:numId w:val="2"/>
        </w:numPr>
        <w:spacing w:before="100" w:line="240"/>
        <w:jc w:val="both"/>
      </w:pPr>
      <w:r>
        <w:rPr>
          <w:rFonts w:ascii="Arial" w:cs="Arial" w:eastAsia="Arial" w:hAnsi="Arial"/>
          <w:b w:val="false"/>
          <w:bCs w:val="false"/>
          <w:color w:val="334155"/>
          <w:sz w:val="24"/>
          <w:szCs w:val="24"/>
        </w:rPr>
        <w:t xml:space="preserve">Gandala Sonjaya, S.Sos., M.Si. - Kepala Bidang Anggaran</w:t>
      </w:r>
    </w:p>
    <w:p>
      <w:pPr>
        <w:pStyle w:val="ListParagraph"/>
        <w:numPr>
          <w:ilvl w:val="0"/>
          <w:numId w:val="2"/>
        </w:numPr>
        <w:spacing w:before="100" w:line="240"/>
        <w:jc w:val="both"/>
      </w:pPr>
      <w:r>
        <w:rPr>
          <w:rFonts w:ascii="Arial" w:cs="Arial" w:eastAsia="Arial" w:hAnsi="Arial"/>
          <w:b w:val="false"/>
          <w:bCs w:val="false"/>
          <w:color w:val="334155"/>
          <w:sz w:val="24"/>
          <w:szCs w:val="24"/>
        </w:rPr>
        <w:t xml:space="preserve">Heksi Lestari, ST., M.Si. - Kepala Bagian Administrasi Pembangunan</w:t>
      </w:r>
    </w:p>
    <w:p>
      <w:pPr>
        <w:pStyle w:val="ListParagraph"/>
        <w:numPr>
          <w:ilvl w:val="0"/>
          <w:numId w:val="2"/>
        </w:numPr>
        <w:spacing w:before="100" w:line="240"/>
        <w:jc w:val="both"/>
      </w:pPr>
      <w:r>
        <w:rPr>
          <w:rFonts w:ascii="Arial" w:cs="Arial" w:eastAsia="Arial" w:hAnsi="Arial"/>
          <w:b w:val="false"/>
          <w:bCs w:val="false"/>
          <w:color w:val="334155"/>
          <w:sz w:val="24"/>
          <w:szCs w:val="24"/>
        </w:rPr>
        <w:t xml:space="preserve">Arif Rachman Suhandi, S.IP, MM - Kepala Bidang Infrastruktur dan Pengembangan Wilayah</w:t>
      </w:r>
    </w:p>
    <w:p>
      <w:pPr>
        <w:spacing w:line="240"/>
      </w:pPr>
    </w:p>
    <w:p>
      <w:pPr>
        <w:spacing w:before="80" w:line="240"/>
        <w:jc w:val="both"/>
      </w:pPr>
      <w:r>
        <w:rPr>
          <w:rFonts w:ascii="Arial" w:cs="Arial" w:eastAsia="Arial" w:hAnsi="Arial"/>
          <w:b w:val="false"/>
          <w:bCs w:val="false"/>
          <w:color w:val="334155"/>
          <w:sz w:val="24"/>
          <w:szCs w:val="24"/>
        </w:rPr>
        <w:t xml:space="preserve">---</w:t>
      </w:r>
    </w:p>
    <w:p>
      <w:pPr>
        <w:spacing w:line="240"/>
      </w:pPr>
    </w:p>
    <w:p>
      <w:pPr>
        <w:pStyle w:val="Heading2"/>
        <w:spacing w:after="120" w:before="240"/>
      </w:pPr>
      <w:r>
        <w:t xml:space="preserve">D. KESIMPULAN</w:t>
      </w:r>
    </w:p>
    <w:p>
      <w:pPr>
        <w:spacing w:line="240"/>
      </w:pPr>
    </w:p>
    <w:p>
      <w:pPr>
        <w:spacing w:before="80" w:line="240"/>
        <w:jc w:val="both"/>
      </w:pPr>
      <w:r>
        <w:rPr>
          <w:rFonts w:ascii="Arial" w:cs="Arial" w:eastAsia="Arial" w:hAnsi="Arial"/>
          <w:b w:val="false"/>
          <w:bCs w:val="false"/>
          <w:color w:val="334155"/>
          <w:sz w:val="24"/>
          <w:szCs w:val="24"/>
        </w:rPr>
        <w:t xml:space="preserve">Sub Kegiatan Pendampingan Penyelenggaraan PUG ini dirancang sebagai program pendampingan berjenjang yang sangat mengandalkan pertemuan langsung (fullboard/residential) untuk mendorong tercapainya target Anggaran Responsif Gender (ARG) sebesar 35,73% di Kabupaten Bogor. Dengan total alokasi Rp499,9 juta, sebagian besar dana difokuskan pada akomodasi dan transportasi peserta dari tingkat kota hingga desa, serta penyediaan bahan cetak dan suvenir untuk menunjang efektivitas sosialisasi dan workshop.</w:t>
      </w:r>
    </w:p>
    <w:p>
      <w:pPr>
        <w:spacing w:line="240"/>
      </w:pPr>
    </w:p>
    <w:p>
      <w:pPr>
        <w:spacing w:before="80" w:line="240"/>
        <w:jc w:val="both"/>
      </w:pPr>
      <w:r>
        <w:rPr>
          <w:rFonts w:ascii="Arial" w:cs="Arial" w:eastAsia="Arial" w:hAnsi="Arial"/>
          <w:b w:val="false"/>
          <w:bCs w:val="false"/>
          <w:color w:val="334155"/>
          <w:sz w:val="24"/>
          <w:szCs w:val="24"/>
        </w:rPr>
        <w:t xml:space="preserve">---</w:t>
      </w:r>
    </w:p>
    <w:p>
      <w:pPr>
        <w:spacing w:line="240"/>
      </w:pPr>
    </w:p>
    <w:p>
      <w:pPr>
        <w:spacing w:before="80" w:line="240"/>
        <w:jc w:val="both"/>
      </w:pPr>
      <w:r>
        <w:rPr>
          <w:rFonts w:ascii="Arial" w:cs="Arial" w:eastAsia="Arial" w:hAnsi="Arial"/>
          <w:b w:val="false"/>
          <w:bCs w:val="false"/>
          <w:color w:val="334155"/>
          <w:sz w:val="24"/>
          <w:szCs w:val="24"/>
        </w:rPr>
        <w:t xml:space="preserve">*Dokumen ini dihasilkan secara otomatis oleh Nayaxa - Asisten AI Bapperida*</w:t>
      </w:r>
    </w:p>
    <w:p>
      <w:pPr>
        <w:spacing w:line="240"/>
      </w:pPr>
    </w:p>
    <w:sectPr>
      <w:type w:val="nextPage"/>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4"/>
        <w:szCs w:val="24"/>
      </w:rPr>
    </w:rPrDefault>
    <w:pPrDefault>
      <w:pPr>
        <w:spacing w:after="120" w:before="120" w:line="240"/>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E2E8F0" w:sz="6" w:space="4"/>
      </w:pBdr>
      <w:spacing w:after="200" w:before="400"/>
      <w:jc w:val="left"/>
    </w:pPr>
    <w:rPr>
      <w:rFonts w:ascii="Arial" w:cs="Arial" w:eastAsia="Arial" w:hAnsi="Arial"/>
      <w:b/>
      <w:bCs/>
      <w:color w:val="1E293B"/>
      <w:sz w:val="32"/>
      <w:szCs w:val="32"/>
    </w:rPr>
  </w:style>
  <w:style w:type="paragraph" w:styleId="Heading2">
    <w:name w:val="Heading 2"/>
    <w:basedOn w:val="Normal"/>
    <w:next w:val="Normal"/>
    <w:qFormat/>
    <w:pPr>
      <w:spacing w:after="150" w:before="300"/>
      <w:jc w:val="left"/>
    </w:pPr>
    <w:rPr>
      <w:rFonts w:ascii="Arial" w:cs="Arial" w:eastAsia="Arial" w:hAnsi="Arial"/>
      <w:b/>
      <w:bCs/>
      <w:color w:val="4F46E5"/>
      <w:sz w:val="28"/>
      <w:szCs w:val="28"/>
    </w:rPr>
  </w:style>
  <w:style w:type="paragraph" w:styleId="Heading3">
    <w:name w:val="Heading 3"/>
    <w:basedOn w:val="Normal"/>
    <w:next w:val="Normal"/>
    <w:qFormat/>
    <w:pPr>
      <w:spacing w:after="100" w:before="200"/>
      <w:jc w:val="left"/>
    </w:pPr>
    <w:rPr>
      <w:rFonts w:ascii="Arial" w:cs="Arial" w:eastAsia="Arial" w:hAnsi="Arial"/>
      <w:b/>
      <w:bCs/>
      <w:color w:val="334155"/>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2026-04-29T03:48:39.040Z</dcterms:created>
  <dcterms:modified xsi:type="dcterms:W3CDTF">2026-04-29T03:48:39.040Z</dcterms:modified>
</cp:coreProperties>
</file>

<file path=docProps/custom.xml><?xml version="1.0" encoding="utf-8"?>
<Properties xmlns="http://schemas.openxmlformats.org/officeDocument/2006/custom-properties" xmlns:vt="http://schemas.openxmlformats.org/officeDocument/2006/docPropsVTypes"/>
</file>