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Moore Foods ERP RAG Assistant — Phase 3 Scope &amp; Requirements</w:t>
      </w:r>
    </w:p>
    <w:p>
      <w:pPr>
        <w:spacing w:after="120"/>
      </w:pPr>
      <w:r>
        <w:rPr>
          <w:b/>
          <w:bCs/>
        </w:rPr>
        <w:t xml:space="preserve">Phase: 3 — Simple UI (Streamlit Chat Interface)</w:t>
      </w:r>
    </w:p>
    <w:p>
      <w:pPr>
        <w:spacing w:after="120"/>
      </w:pPr>
      <w:r>
        <w:rPr>
          <w:b/>
          <w:bCs/>
        </w:rPr>
        <w:t xml:space="preserve">Author: Matthew Moore</w:t>
      </w:r>
    </w:p>
    <w:p>
      <w:pPr>
        <w:spacing w:after="120"/>
      </w:pPr>
      <w:r>
        <w:rPr>
          <w:b/>
          <w:bCs/>
        </w:rPr>
        <w:t xml:space="preserve">Status: Draft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rPr>
          <w:b w:val="false"/>
          <w:bCs w:val="false"/>
        </w:rPr>
        <w:t xml:space="preserve">Phases 1 and 2 delivered a working assistant accessible only via a command-line loop (python ask.py). Phase 3 wraps the existing ask() function in a Streamlit chat interface, making the assistant demoable and usable without a terminal, and deployable as a public link for a portfolio or LinkedIn audience. This phase adds a UI layer only — it does not change ask.py's retrieval, tool-calling, or system prompt logic.</w:t>
      </w:r>
    </w:p>
    <w:p>
      <w:pPr>
        <w:pStyle w:val="Heading1"/>
        <w:spacing w:after="150" w:before="300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a chat-style web interface for the existing assistant, replacing the terminal loop as the primary way to interact with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retrieval and tool-use behaviour visible to the user (which sources were used, whether a live-data tool was called), rather than a black 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the interface publicly (Streamlit Community Cloud) so it can be shared as a working demo link, not just a code repository.</w:t>
      </w:r>
    </w:p>
    <w:p>
      <w:pPr>
        <w:pStyle w:val="Heading1"/>
        <w:spacing w:after="150" w:before="300"/>
      </w:pPr>
      <w:r>
        <w:t xml:space="preserve">3. In Scope</w:t>
      </w:r>
    </w:p>
    <w:p>
      <w:pPr>
        <w:pStyle w:val="Heading2"/>
        <w:spacing w:after="120" w:before="240"/>
      </w:pPr>
      <w:r>
        <w:t xml:space="preserve">Functional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single-page Streamlit chat interface using st.chat_message and st.chat_input.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Conversation history maintained within a session using Streamlit's session state, so a user can ask follow-up questions in one sitting.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interface calls the existing ask() function from ask.py directly (as an imported function) — no duplication of retrieval or tool-calling logic in the UI 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assistant response displays: the answer text, and an expandable section showing which document sources and/or which live-data tool (if any) contributed to that answer.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error handling: a clear on-screen message if the assistant call fails (e.g. API error), rather than an unhandled exception crashing the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deployment to Streamlit Community Cloud, linked from the GitHub README.</w:t>
      </w:r>
    </w:p>
    <w:p>
      <w:pPr>
        <w:pStyle w:val="Heading2"/>
        <w:spacing w:after="120" w:before="240"/>
      </w:pPr>
      <w:r>
        <w:t xml:space="preserve">Explicitly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change to ask.py's retrieval logic, tool-calling loop, or system prompt — Phase 3 is a UI wrapper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accounts, authentication, or per-user conversation history persisted across sessions.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Multi-document or multi-database support (still the single Moore Foods knowledge base and database from Phases 1–2).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Mobile-specific responsive design beyond Streamlit's default behaviour.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2b (purchase order/production tool-calling) — a separate, not-yet-scoped phase.</w:t>
      </w:r>
    </w:p>
    <w:p>
      <w:pPr>
        <w:pStyle w:val="Heading1"/>
        <w:spacing w:after="150" w:before="300"/>
      </w:pPr>
      <w:r>
        <w:t xml:space="preserve">4. 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interface must call the existing ask() function without modifying its signature or internal behaviour.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response must clearly distinguish, for the user, whether it drew on documentation, a live-data tool, or both — reusing the existing return values from ask() (retrieved_docs, tools_used) rather than re-deriving this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interface must handle an empty or whitespace-only submission without erroring, matching the existing guard already present in the command-line version.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interface must surface the existing truncation warning (stop_reason == "max_tokens") to the user if it occurs, rather than silently showing a cut-off answer.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interface must remain usable if the vector index or database is temporarily unavailable — showing a clear error rather than a blank page or stack trace.</w:t>
      </w:r>
    </w:p>
    <w:p>
      <w:pPr>
        <w:pStyle w:val="Heading1"/>
        <w:spacing w:after="150" w:before="300"/>
      </w:pPr>
      <w:r>
        <w:t xml:space="preserve">5.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dependencies beyond streamlit itself and what ask.py already requires.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keys (.env) must not be exposed in the deployed app — Streamlit Community Cloud's secrets management must be used instead of committing keys.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 should load and respond within a reasonable time for a demo context (a few seconds per answer is acceptable; this is not a production latency target).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changes should sit on a separate branch (phase-3-ui) rather than committed directly to main.</w:t>
      </w:r>
    </w:p>
    <w:p>
      <w:pPr>
        <w:pStyle w:val="Heading1"/>
        <w:spacing w:after="150" w:before="300"/>
      </w:pPr>
      <w:r>
        <w:t xml:space="preserve">6. Acceptance Criteria</w:t>
      </w:r>
    </w:p>
    <w:p>
      <w:pPr>
        <w:spacing w:after="120"/>
      </w:pPr>
      <w:r>
        <w:rPr>
          <w:b w:val="false"/>
          <w:bCs w:val="false"/>
        </w:rPr>
        <w:t xml:space="preserve">Phase 3 is considered complete when:</w:t>
      </w:r>
    </w:p>
    <w:p>
      <w:pPr>
        <w:spacing w:after="60"/>
      </w:pPr>
      <w:r>
        <w:t xml:space="preserve">☐ The Streamlit app runs locally and calls ask() correctly, producing the same answers as the command-line version for the same questions</w:t>
      </w:r>
    </w:p>
    <w:p>
      <w:pPr>
        <w:spacing w:after="60"/>
      </w:pPr>
      <w:r>
        <w:t xml:space="preserve">☐ A user can ask a documentation question, a live-data question, and a combined question, and see the correct source/tool indicator for each</w:t>
      </w:r>
    </w:p>
    <w:p>
      <w:pPr>
        <w:spacing w:after="60"/>
      </w:pPr>
      <w:r>
        <w:t xml:space="preserve">☐ Empty submissions and a simulated tool/API failure are both handled with a visible, clear message rather than a crash</w:t>
      </w:r>
    </w:p>
    <w:p>
      <w:pPr>
        <w:spacing w:after="60"/>
      </w:pPr>
      <w:r>
        <w:t xml:space="preserve">☐ The app is deployed and publicly accessible via a Streamlit Community Cloud link</w:t>
      </w:r>
    </w:p>
    <w:p>
      <w:pPr>
        <w:spacing w:after="60"/>
      </w:pPr>
      <w:r>
        <w:t xml:space="preserve">☐ No API keys or secrets appear in the deployed app's source or logs</w:t>
      </w:r>
    </w:p>
    <w:p>
      <w:pPr>
        <w:spacing w:after="60"/>
      </w:pPr>
      <w:r>
        <w:t xml:space="preserve">☐ README updated with a "Try it live" link and a short description of the UI, alongside the existing command-line usage instructions</w:t>
      </w:r>
    </w:p>
    <w:p>
      <w:pPr>
        <w:pStyle w:val="Heading1"/>
        <w:spacing w:after="150" w:before="300"/>
      </w:pPr>
      <w:r>
        <w:t xml:space="preserve">7. Test Plan (summary)</w:t>
      </w:r>
    </w:p>
    <w:p>
      <w:pPr>
        <w:spacing w:after="120"/>
      </w:pPr>
      <w:r>
        <w:rPr>
          <w:b w:val="false"/>
          <w:bCs w:val="false"/>
        </w:rPr>
        <w:t xml:space="preserve">A new lightweight test pass, distinct from the Phase 1/2 test scripts (which validate ask.py's answers, not the UI itself):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Re-run a small sample of already-validated questions (one documentation-only, one order status, one stock level, one combined) through the UI and confirm the answers match the known-good command-line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an empty message and confirm graceful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Temporarily rename/move the .env file to simulate an API failure and confirm the UI shows a clear error rather than crashing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deployed public link loads and functions identically to the local version</w:t>
      </w:r>
    </w:p>
    <w:p>
      <w:pPr>
        <w:pStyle w:val="Heading1"/>
        <w:spacing w:after="150" w:before="300"/>
      </w:pPr>
      <w:r>
        <w:t xml:space="preserve">8. Deferred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to add a persistent conversation history (e.g. saved to a file or database) in a later phase, or keep sessions ephemeral as in this phase.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Phase 2b (purchase orders/production) or further UI polish (e.g. the source/tool indicator styling) comes next after Phase 3.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2026-09-15T03:43:28.342Z</dcterms:created>
  <dcterms:modified xsi:type="dcterms:W3CDTF">2026-09-15T03:43:28.352Z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